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29" w:rsidRPr="00AC08EE" w:rsidRDefault="00756829" w:rsidP="00410F7B">
      <w:pPr>
        <w:spacing w:after="216" w:line="300" w:lineRule="auto"/>
        <w:rPr>
          <w:rFonts w:eastAsia="Times New Roman" w:cs="Arial"/>
          <w:lang w:val="cs-CZ" w:eastAsia="cs-CZ"/>
        </w:rPr>
      </w:pPr>
      <w:r w:rsidRPr="00E708D6">
        <w:rPr>
          <w:rFonts w:eastAsia="Times New Roman" w:cs="Arial"/>
          <w:b/>
          <w:sz w:val="32"/>
          <w:lang w:val="cs-CZ" w:eastAsia="cs-CZ"/>
        </w:rPr>
        <w:t xml:space="preserve">POZVÁNKA NA </w:t>
      </w:r>
      <w:r w:rsidR="00186E7B" w:rsidRPr="00E708D6">
        <w:rPr>
          <w:rFonts w:eastAsia="Times New Roman" w:cs="Arial"/>
          <w:b/>
          <w:sz w:val="32"/>
          <w:lang w:val="cs-CZ" w:eastAsia="cs-CZ"/>
        </w:rPr>
        <w:t xml:space="preserve">ŘÁDNOU </w:t>
      </w:r>
      <w:r w:rsidRPr="00E708D6">
        <w:rPr>
          <w:rFonts w:eastAsia="Times New Roman" w:cs="Arial"/>
          <w:b/>
          <w:sz w:val="32"/>
          <w:lang w:val="cs-CZ" w:eastAsia="cs-CZ"/>
        </w:rPr>
        <w:t>VALNOU HROMADU</w:t>
      </w:r>
      <w:r w:rsidR="00A40510" w:rsidRPr="00E708D6">
        <w:rPr>
          <w:rFonts w:eastAsia="Times New Roman" w:cs="Arial"/>
          <w:sz w:val="32"/>
          <w:lang w:val="cs-CZ" w:eastAsia="cs-CZ"/>
        </w:rPr>
        <w:t xml:space="preserve">                                                           </w:t>
      </w:r>
      <w:r w:rsidR="00ED6EC9">
        <w:rPr>
          <w:rFonts w:eastAsia="Times New Roman" w:cs="Arial"/>
          <w:noProof/>
          <w:lang w:val="cs-CZ" w:eastAsia="cs-CZ"/>
        </w:rPr>
        <w:drawing>
          <wp:inline distT="0" distB="0" distL="0" distR="0">
            <wp:extent cx="1325880" cy="853440"/>
            <wp:effectExtent l="19050" t="0" r="7620" b="0"/>
            <wp:docPr id="1" name="obrázek 1" descr="Colognia_Logo_2016_V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gnia_Logo_2016_V_G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 </w:t>
      </w:r>
    </w:p>
    <w:p w:rsidR="00756829" w:rsidRPr="00AC08EE" w:rsidRDefault="000767C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>
        <w:rPr>
          <w:rFonts w:eastAsia="Times New Roman" w:cs="Arial"/>
          <w:lang w:val="cs-CZ" w:eastAsia="cs-CZ"/>
        </w:rPr>
        <w:t>Statutární ředitel</w:t>
      </w:r>
      <w:r w:rsidR="00033152">
        <w:rPr>
          <w:rFonts w:eastAsia="Times New Roman" w:cs="Arial"/>
          <w:lang w:val="cs-CZ" w:eastAsia="cs-CZ"/>
        </w:rPr>
        <w:t>ka,</w:t>
      </w:r>
      <w:r w:rsidR="00756829" w:rsidRPr="00AC08EE">
        <w:rPr>
          <w:rFonts w:eastAsia="Times New Roman" w:cs="Arial"/>
          <w:lang w:val="cs-CZ" w:eastAsia="cs-CZ"/>
        </w:rPr>
        <w:t xml:space="preserve"> obchodní společnosti </w:t>
      </w:r>
      <w:proofErr w:type="spellStart"/>
      <w:r w:rsidR="00756829" w:rsidRPr="00AC08EE">
        <w:rPr>
          <w:rFonts w:eastAsia="Times New Roman" w:cs="Arial"/>
          <w:lang w:val="cs-CZ" w:eastAsia="cs-CZ"/>
        </w:rPr>
        <w:t>Colognia</w:t>
      </w:r>
      <w:proofErr w:type="spellEnd"/>
      <w:r w:rsidR="00756829" w:rsidRPr="00AC08EE">
        <w:rPr>
          <w:rFonts w:eastAsia="Times New Roman" w:cs="Arial"/>
          <w:lang w:val="cs-CZ" w:eastAsia="cs-CZ"/>
        </w:rPr>
        <w:t xml:space="preserve"> </w:t>
      </w:r>
      <w:proofErr w:type="spellStart"/>
      <w:r w:rsidR="00756829" w:rsidRPr="00AC08EE">
        <w:rPr>
          <w:rFonts w:eastAsia="Times New Roman" w:cs="Arial"/>
          <w:lang w:val="cs-CZ" w:eastAsia="cs-CZ"/>
        </w:rPr>
        <w:t>press</w:t>
      </w:r>
      <w:proofErr w:type="spellEnd"/>
      <w:r w:rsidR="00756829" w:rsidRPr="00AC08EE">
        <w:rPr>
          <w:rFonts w:eastAsia="Times New Roman" w:cs="Arial"/>
          <w:bCs/>
          <w:lang w:val="cs-CZ" w:eastAsia="cs-CZ"/>
        </w:rPr>
        <w:t>, a.s.</w:t>
      </w:r>
      <w:r w:rsidR="00756829" w:rsidRPr="00AC08EE">
        <w:rPr>
          <w:rFonts w:eastAsia="Times New Roman" w:cs="Arial"/>
          <w:lang w:val="cs-CZ" w:eastAsia="cs-CZ"/>
        </w:rPr>
        <w:t xml:space="preserve">, IČ: </w:t>
      </w:r>
      <w:r w:rsidR="00D93BA1" w:rsidRPr="00AC08EE">
        <w:rPr>
          <w:rStyle w:val="Siln"/>
          <w:b w:val="0"/>
          <w:lang w:val="cs-CZ"/>
        </w:rPr>
        <w:t>26186292</w:t>
      </w:r>
      <w:r w:rsidR="00756829" w:rsidRPr="00AC08EE">
        <w:rPr>
          <w:rFonts w:eastAsia="Times New Roman" w:cs="Arial"/>
          <w:lang w:val="cs-CZ" w:eastAsia="cs-CZ"/>
        </w:rPr>
        <w:t xml:space="preserve">, se sídlem </w:t>
      </w:r>
      <w:r w:rsidR="00D93BA1" w:rsidRPr="00AC08EE">
        <w:rPr>
          <w:lang w:val="cs-CZ"/>
        </w:rPr>
        <w:t>Kolín IV, Havlíčkova 844, PSČ 280 00, společnost</w:t>
      </w:r>
      <w:r>
        <w:rPr>
          <w:lang w:val="cs-CZ"/>
        </w:rPr>
        <w:t>i</w:t>
      </w:r>
      <w:r w:rsidR="00D93BA1" w:rsidRPr="00AC08EE">
        <w:rPr>
          <w:lang w:val="cs-CZ"/>
        </w:rPr>
        <w:t xml:space="preserve"> zapsan</w:t>
      </w:r>
      <w:r>
        <w:rPr>
          <w:lang w:val="cs-CZ"/>
        </w:rPr>
        <w:t>é</w:t>
      </w:r>
      <w:r w:rsidR="00D93BA1" w:rsidRPr="00AC08EE">
        <w:rPr>
          <w:lang w:val="cs-CZ"/>
        </w:rPr>
        <w:t xml:space="preserve"> v obchodním rejstříku pod spis. zn.:  </w:t>
      </w:r>
      <w:r w:rsidR="00D93BA1" w:rsidRPr="00AC08EE">
        <w:rPr>
          <w:rStyle w:val="spiszn"/>
          <w:lang w:val="cs-CZ"/>
        </w:rPr>
        <w:t>B 6634, veden</w:t>
      </w:r>
      <w:r>
        <w:rPr>
          <w:rStyle w:val="spiszn"/>
          <w:lang w:val="cs-CZ"/>
        </w:rPr>
        <w:t xml:space="preserve">é </w:t>
      </w:r>
      <w:r w:rsidR="00D93BA1" w:rsidRPr="00AC08EE">
        <w:rPr>
          <w:rStyle w:val="spiszn"/>
          <w:lang w:val="cs-CZ"/>
        </w:rPr>
        <w:t xml:space="preserve">u Městského soudu v Praze </w:t>
      </w:r>
      <w:r w:rsidR="00756829" w:rsidRPr="00AC08EE">
        <w:rPr>
          <w:rFonts w:eastAsia="Times New Roman" w:cs="Arial"/>
          <w:lang w:val="cs-CZ" w:eastAsia="cs-CZ"/>
        </w:rPr>
        <w:t>(dále jen „Společnost“)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svolává řádnou valnou hromadu, která se bude konat dne</w:t>
      </w:r>
      <w:r w:rsidR="003C1B0E" w:rsidRPr="00AC08EE">
        <w:rPr>
          <w:rFonts w:eastAsia="Times New Roman" w:cs="Arial"/>
          <w:lang w:val="cs-CZ" w:eastAsia="cs-CZ"/>
        </w:rPr>
        <w:t xml:space="preserve"> </w:t>
      </w:r>
      <w:r w:rsidR="005C3143">
        <w:rPr>
          <w:rFonts w:eastAsia="Times New Roman" w:cs="Arial"/>
          <w:lang w:val="cs-CZ" w:eastAsia="cs-CZ"/>
        </w:rPr>
        <w:t xml:space="preserve">28.6.2018 </w:t>
      </w:r>
      <w:r w:rsidRPr="00AC08EE">
        <w:rPr>
          <w:rFonts w:eastAsia="Times New Roman" w:cs="Arial"/>
          <w:lang w:val="cs-CZ" w:eastAsia="cs-CZ"/>
        </w:rPr>
        <w:t>od</w:t>
      </w:r>
      <w:r w:rsidR="000633B4">
        <w:rPr>
          <w:rFonts w:eastAsia="Times New Roman" w:cs="Arial"/>
          <w:lang w:val="cs-CZ" w:eastAsia="cs-CZ"/>
        </w:rPr>
        <w:t xml:space="preserve"> 14:00</w:t>
      </w:r>
      <w:r w:rsidRPr="00AC08EE">
        <w:rPr>
          <w:rFonts w:eastAsia="Times New Roman" w:cs="Arial"/>
          <w:lang w:val="cs-CZ" w:eastAsia="cs-CZ"/>
        </w:rPr>
        <w:t xml:space="preserve"> hod.  v</w:t>
      </w:r>
      <w:r w:rsidR="003C1B0E" w:rsidRPr="00AC08EE">
        <w:rPr>
          <w:rFonts w:eastAsia="Times New Roman" w:cs="Arial"/>
          <w:lang w:val="cs-CZ" w:eastAsia="cs-CZ"/>
        </w:rPr>
        <w:t xml:space="preserve"> Kolíně </w:t>
      </w:r>
      <w:r w:rsidRPr="00AC08EE">
        <w:rPr>
          <w:rFonts w:eastAsia="Times New Roman" w:cs="Arial"/>
          <w:lang w:val="cs-CZ" w:eastAsia="cs-CZ"/>
        </w:rPr>
        <w:t xml:space="preserve">na adrese </w:t>
      </w:r>
      <w:r w:rsidR="003C1B0E" w:rsidRPr="00AC08EE">
        <w:rPr>
          <w:rFonts w:eastAsia="Times New Roman" w:cs="Arial"/>
          <w:lang w:val="cs-CZ" w:eastAsia="cs-CZ"/>
        </w:rPr>
        <w:t>Havlíčkova 844, 280 02 Kolín 4</w:t>
      </w:r>
      <w:r w:rsidRPr="00AC08EE">
        <w:rPr>
          <w:rFonts w:eastAsia="Times New Roman" w:cs="Arial"/>
          <w:lang w:val="cs-CZ" w:eastAsia="cs-CZ"/>
        </w:rPr>
        <w:t>.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Pořad řádné valné hromady:</w:t>
      </w:r>
    </w:p>
    <w:p w:rsidR="00756829" w:rsidRPr="00AC08EE" w:rsidRDefault="00756829" w:rsidP="009A6518">
      <w:pPr>
        <w:pStyle w:val="Odstavecseseznamem"/>
        <w:numPr>
          <w:ilvl w:val="0"/>
          <w:numId w:val="5"/>
        </w:num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Zahájení, volba předsedy valné hromady, zapisovatele, ověřovatelů zápisu a osob pověřených sčítáním hlasů</w:t>
      </w:r>
    </w:p>
    <w:p w:rsidR="009A6518" w:rsidRPr="00AC08EE" w:rsidRDefault="009A6518" w:rsidP="009A6518">
      <w:pPr>
        <w:pStyle w:val="Odstavecseseznamem"/>
        <w:spacing w:before="120" w:after="216" w:line="300" w:lineRule="auto"/>
        <w:ind w:left="1815"/>
        <w:rPr>
          <w:rFonts w:eastAsia="Times New Roman" w:cs="Arial"/>
          <w:lang w:val="cs-CZ" w:eastAsia="cs-CZ"/>
        </w:rPr>
      </w:pPr>
    </w:p>
    <w:p w:rsidR="00756829" w:rsidRPr="00AC08EE" w:rsidRDefault="00756829" w:rsidP="009A6518">
      <w:pPr>
        <w:pStyle w:val="Odstavecseseznamem"/>
        <w:numPr>
          <w:ilvl w:val="0"/>
          <w:numId w:val="5"/>
        </w:num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Zpráva </w:t>
      </w:r>
      <w:r w:rsidR="00186E7B">
        <w:rPr>
          <w:rFonts w:eastAsia="Times New Roman" w:cs="Arial"/>
          <w:lang w:val="cs-CZ" w:eastAsia="cs-CZ"/>
        </w:rPr>
        <w:t xml:space="preserve">statutárního ředitele </w:t>
      </w:r>
      <w:r w:rsidRPr="00AC08EE">
        <w:rPr>
          <w:rFonts w:eastAsia="Times New Roman" w:cs="Arial"/>
          <w:lang w:val="cs-CZ" w:eastAsia="cs-CZ"/>
        </w:rPr>
        <w:t>o podnikatelské činnosti společnosti a o stavu jejího majetku za rok 201</w:t>
      </w:r>
      <w:r w:rsidR="005C3143">
        <w:rPr>
          <w:rFonts w:eastAsia="Times New Roman" w:cs="Arial"/>
          <w:lang w:val="cs-CZ" w:eastAsia="cs-CZ"/>
        </w:rPr>
        <w:t>7</w:t>
      </w:r>
    </w:p>
    <w:p w:rsidR="009A6518" w:rsidRPr="00AC08EE" w:rsidRDefault="009A6518" w:rsidP="009A6518">
      <w:pPr>
        <w:pStyle w:val="Odstavecseseznamem"/>
        <w:spacing w:before="120" w:after="216" w:line="300" w:lineRule="auto"/>
        <w:ind w:left="1815"/>
        <w:rPr>
          <w:rFonts w:eastAsia="Times New Roman" w:cs="Arial"/>
          <w:lang w:val="cs-CZ" w:eastAsia="cs-CZ"/>
        </w:rPr>
      </w:pPr>
    </w:p>
    <w:p w:rsidR="00A73A5C" w:rsidRPr="00AC08EE" w:rsidRDefault="00756829" w:rsidP="00A73A5C">
      <w:pPr>
        <w:pStyle w:val="Odstavecseseznamem"/>
        <w:numPr>
          <w:ilvl w:val="0"/>
          <w:numId w:val="5"/>
        </w:num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Vyjádření </w:t>
      </w:r>
      <w:r w:rsidR="00186E7B">
        <w:rPr>
          <w:rFonts w:eastAsia="Times New Roman" w:cs="Arial"/>
          <w:lang w:val="cs-CZ" w:eastAsia="cs-CZ"/>
        </w:rPr>
        <w:t xml:space="preserve">správní rady </w:t>
      </w:r>
      <w:r w:rsidRPr="00AC08EE">
        <w:rPr>
          <w:rFonts w:eastAsia="Times New Roman" w:cs="Arial"/>
          <w:lang w:val="cs-CZ" w:eastAsia="cs-CZ"/>
        </w:rPr>
        <w:t>k přezkoumání řádné účetní závěrky za rok 201</w:t>
      </w:r>
      <w:r w:rsidR="005C3143">
        <w:rPr>
          <w:rFonts w:eastAsia="Times New Roman" w:cs="Arial"/>
          <w:lang w:val="cs-CZ" w:eastAsia="cs-CZ"/>
        </w:rPr>
        <w:t>7</w:t>
      </w:r>
      <w:r w:rsidRPr="00AC08EE">
        <w:rPr>
          <w:rFonts w:eastAsia="Times New Roman" w:cs="Arial"/>
          <w:lang w:val="cs-CZ" w:eastAsia="cs-CZ"/>
        </w:rPr>
        <w:t xml:space="preserve">, návrhu na vypořádání hospodářského výsledku </w:t>
      </w:r>
    </w:p>
    <w:p w:rsidR="00AC08EE" w:rsidRPr="00AC08EE" w:rsidRDefault="00AC08EE" w:rsidP="007176AE">
      <w:pPr>
        <w:pStyle w:val="Odstavecseseznamem"/>
        <w:spacing w:before="120" w:after="216" w:line="300" w:lineRule="auto"/>
        <w:ind w:left="1815"/>
        <w:rPr>
          <w:rFonts w:eastAsia="Times New Roman" w:cs="Arial"/>
          <w:lang w:val="cs-CZ" w:eastAsia="cs-CZ"/>
        </w:rPr>
      </w:pPr>
    </w:p>
    <w:p w:rsidR="00756829" w:rsidRPr="00AC08EE" w:rsidRDefault="00756829" w:rsidP="009A6518">
      <w:pPr>
        <w:pStyle w:val="Odstavecseseznamem"/>
        <w:numPr>
          <w:ilvl w:val="0"/>
          <w:numId w:val="5"/>
        </w:num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Schválení účetní závěrky Společnosti za rok 201</w:t>
      </w:r>
      <w:r w:rsidR="005C3143">
        <w:rPr>
          <w:rFonts w:eastAsia="Times New Roman" w:cs="Arial"/>
          <w:lang w:val="cs-CZ" w:eastAsia="cs-CZ"/>
        </w:rPr>
        <w:t>7</w:t>
      </w:r>
      <w:r w:rsidRPr="00AC08EE">
        <w:rPr>
          <w:rFonts w:eastAsia="Times New Roman" w:cs="Arial"/>
          <w:lang w:val="cs-CZ" w:eastAsia="cs-CZ"/>
        </w:rPr>
        <w:t xml:space="preserve"> a rozhodnutí o vypořádání hospodářského výsledku</w:t>
      </w:r>
      <w:r w:rsidR="00A73A5C" w:rsidRPr="00AC08EE">
        <w:rPr>
          <w:rFonts w:eastAsia="Times New Roman" w:cs="Arial"/>
          <w:lang w:val="cs-CZ" w:eastAsia="cs-CZ"/>
        </w:rPr>
        <w:t xml:space="preserve"> a rozhodnutí o rozdělení zisku.</w:t>
      </w:r>
    </w:p>
    <w:p w:rsidR="00A22039" w:rsidRPr="00AC08EE" w:rsidRDefault="00A22039" w:rsidP="00A22039">
      <w:pPr>
        <w:pStyle w:val="Odstavecseseznamem"/>
        <w:rPr>
          <w:rFonts w:eastAsia="Times New Roman" w:cs="Arial"/>
          <w:lang w:val="cs-CZ" w:eastAsia="cs-CZ"/>
        </w:rPr>
      </w:pPr>
    </w:p>
    <w:p w:rsidR="00A22039" w:rsidRPr="00AC08EE" w:rsidRDefault="00A22039" w:rsidP="009A6518">
      <w:pPr>
        <w:pStyle w:val="Odstavecseseznamem"/>
        <w:numPr>
          <w:ilvl w:val="0"/>
          <w:numId w:val="5"/>
        </w:num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Rozhodnutí o rozdělení zisku za rok 201</w:t>
      </w:r>
      <w:r w:rsidR="005C3143">
        <w:rPr>
          <w:rFonts w:eastAsia="Times New Roman" w:cs="Arial"/>
          <w:lang w:val="cs-CZ" w:eastAsia="cs-CZ"/>
        </w:rPr>
        <w:t>7</w:t>
      </w:r>
      <w:r w:rsidRPr="00AC08EE">
        <w:rPr>
          <w:rFonts w:eastAsia="Times New Roman" w:cs="Arial"/>
          <w:lang w:val="cs-CZ" w:eastAsia="cs-CZ"/>
        </w:rPr>
        <w:t xml:space="preserve"> a o výplatě dividend</w:t>
      </w:r>
    </w:p>
    <w:p w:rsidR="009A6518" w:rsidRPr="00AC08EE" w:rsidRDefault="009A6518" w:rsidP="009A6518">
      <w:pPr>
        <w:pStyle w:val="Odstavecseseznamem"/>
        <w:spacing w:before="120" w:after="216" w:line="300" w:lineRule="auto"/>
        <w:ind w:left="1815"/>
        <w:rPr>
          <w:rFonts w:eastAsia="Times New Roman" w:cs="Arial"/>
          <w:lang w:val="cs-CZ" w:eastAsia="cs-CZ"/>
        </w:rPr>
      </w:pPr>
    </w:p>
    <w:p w:rsidR="00186E7B" w:rsidRDefault="00756829" w:rsidP="00F3133D">
      <w:pPr>
        <w:pStyle w:val="Odstavecseseznamem"/>
        <w:numPr>
          <w:ilvl w:val="0"/>
          <w:numId w:val="5"/>
        </w:num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Určení auditora k provedení povinného auditu pro účetní období kalendářního roku 201</w:t>
      </w:r>
      <w:r w:rsidR="005C3143">
        <w:rPr>
          <w:rFonts w:eastAsia="Times New Roman" w:cs="Arial"/>
          <w:lang w:val="cs-CZ" w:eastAsia="cs-CZ"/>
        </w:rPr>
        <w:t>8</w:t>
      </w:r>
    </w:p>
    <w:p w:rsidR="00F3133D" w:rsidRPr="00F3133D" w:rsidRDefault="00F3133D" w:rsidP="00F3133D">
      <w:pPr>
        <w:pStyle w:val="Odstavecseseznamem"/>
        <w:spacing w:before="120" w:after="216" w:line="300" w:lineRule="auto"/>
        <w:ind w:left="1473"/>
        <w:rPr>
          <w:rFonts w:eastAsia="Times New Roman" w:cs="Arial"/>
          <w:lang w:val="cs-CZ" w:eastAsia="cs-CZ"/>
        </w:rPr>
      </w:pPr>
    </w:p>
    <w:p w:rsidR="00756829" w:rsidRPr="00AC08EE" w:rsidRDefault="00756829" w:rsidP="00756829">
      <w:pPr>
        <w:pStyle w:val="Odstavecseseznamem"/>
        <w:numPr>
          <w:ilvl w:val="0"/>
          <w:numId w:val="5"/>
        </w:num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Závěr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Pozvánka na valnou hromadu Společnosti bude zveřejněna na </w:t>
      </w:r>
      <w:r w:rsidR="00A73A5C" w:rsidRPr="00AC08EE">
        <w:rPr>
          <w:rFonts w:eastAsia="Times New Roman" w:cs="Arial"/>
          <w:lang w:val="cs-CZ" w:eastAsia="cs-CZ"/>
        </w:rPr>
        <w:t>oficiálních webových stránkách s</w:t>
      </w:r>
      <w:r w:rsidRPr="00AC08EE">
        <w:rPr>
          <w:rFonts w:eastAsia="Times New Roman" w:cs="Arial"/>
          <w:lang w:val="cs-CZ" w:eastAsia="cs-CZ"/>
        </w:rPr>
        <w:t xml:space="preserve">polečnosti a </w:t>
      </w:r>
      <w:r w:rsidR="00A22039" w:rsidRPr="00AC08EE">
        <w:rPr>
          <w:rFonts w:eastAsia="Times New Roman" w:cs="Arial"/>
          <w:lang w:val="cs-CZ" w:eastAsia="cs-CZ"/>
        </w:rPr>
        <w:t xml:space="preserve">zaslána každému </w:t>
      </w:r>
      <w:r w:rsidRPr="00AC08EE">
        <w:rPr>
          <w:rFonts w:eastAsia="Times New Roman" w:cs="Arial"/>
          <w:lang w:val="cs-CZ" w:eastAsia="cs-CZ"/>
        </w:rPr>
        <w:t>akcionář</w:t>
      </w:r>
      <w:r w:rsidR="00A22039" w:rsidRPr="00AC08EE">
        <w:rPr>
          <w:rFonts w:eastAsia="Times New Roman" w:cs="Arial"/>
          <w:lang w:val="cs-CZ" w:eastAsia="cs-CZ"/>
        </w:rPr>
        <w:t>i</w:t>
      </w:r>
      <w:r w:rsidRPr="00AC08EE">
        <w:rPr>
          <w:rFonts w:eastAsia="Times New Roman" w:cs="Arial"/>
          <w:lang w:val="cs-CZ" w:eastAsia="cs-CZ"/>
        </w:rPr>
        <w:t xml:space="preserve"> na </w:t>
      </w:r>
      <w:r w:rsidR="00A73A5C" w:rsidRPr="00AC08EE">
        <w:rPr>
          <w:rFonts w:eastAsia="Times New Roman" w:cs="Arial"/>
          <w:lang w:val="cs-CZ" w:eastAsia="cs-CZ"/>
        </w:rPr>
        <w:t>je</w:t>
      </w:r>
      <w:r w:rsidR="00A22039" w:rsidRPr="00AC08EE">
        <w:rPr>
          <w:rFonts w:eastAsia="Times New Roman" w:cs="Arial"/>
          <w:lang w:val="cs-CZ" w:eastAsia="cs-CZ"/>
        </w:rPr>
        <w:t>ho</w:t>
      </w:r>
      <w:r w:rsidR="00A73A5C" w:rsidRPr="00AC08EE">
        <w:rPr>
          <w:rFonts w:eastAsia="Times New Roman" w:cs="Arial"/>
          <w:lang w:val="cs-CZ" w:eastAsia="cs-CZ"/>
        </w:rPr>
        <w:t xml:space="preserve"> e-mailovou </w:t>
      </w:r>
      <w:r w:rsidRPr="00AC08EE">
        <w:rPr>
          <w:rFonts w:eastAsia="Times New Roman" w:cs="Arial"/>
          <w:lang w:val="cs-CZ" w:eastAsia="cs-CZ"/>
        </w:rPr>
        <w:t>adresu.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Registrace akcionářů bude zahájena v</w:t>
      </w:r>
      <w:r w:rsidR="000633B4">
        <w:rPr>
          <w:rFonts w:eastAsia="Times New Roman" w:cs="Arial"/>
          <w:lang w:val="cs-CZ" w:eastAsia="cs-CZ"/>
        </w:rPr>
        <w:t> 13:45</w:t>
      </w:r>
      <w:r w:rsidR="00B63E2D" w:rsidRPr="00AC08EE">
        <w:rPr>
          <w:rFonts w:eastAsia="Times New Roman" w:cs="Arial"/>
          <w:lang w:val="cs-CZ" w:eastAsia="cs-CZ"/>
        </w:rPr>
        <w:t xml:space="preserve"> </w:t>
      </w:r>
      <w:r w:rsidRPr="00AC08EE">
        <w:rPr>
          <w:rFonts w:eastAsia="Times New Roman" w:cs="Arial"/>
          <w:lang w:val="cs-CZ" w:eastAsia="cs-CZ"/>
        </w:rPr>
        <w:t>hod. v den a na místě konání valné hromady</w:t>
      </w:r>
      <w:r w:rsidR="001D116A" w:rsidRPr="00AC08EE">
        <w:rPr>
          <w:rFonts w:eastAsia="Times New Roman" w:cs="Arial"/>
          <w:lang w:val="cs-CZ" w:eastAsia="cs-CZ"/>
        </w:rPr>
        <w:t>. O</w:t>
      </w:r>
      <w:r w:rsidRPr="00AC08EE">
        <w:rPr>
          <w:rFonts w:eastAsia="Times New Roman" w:cs="Arial"/>
          <w:lang w:val="cs-CZ" w:eastAsia="cs-CZ"/>
        </w:rPr>
        <w:t>soby jedn</w:t>
      </w:r>
      <w:r w:rsidR="001D116A" w:rsidRPr="00AC08EE">
        <w:rPr>
          <w:rFonts w:eastAsia="Times New Roman" w:cs="Arial"/>
          <w:lang w:val="cs-CZ" w:eastAsia="cs-CZ"/>
        </w:rPr>
        <w:t xml:space="preserve">ající za právnickou osobu </w:t>
      </w:r>
      <w:r w:rsidRPr="00AC08EE">
        <w:rPr>
          <w:rFonts w:eastAsia="Times New Roman" w:cs="Arial"/>
          <w:lang w:val="cs-CZ" w:eastAsia="cs-CZ"/>
        </w:rPr>
        <w:t xml:space="preserve">odevzdají doklad osvědčující existenci právnické osoby a jejich oprávnění za ni jednat. Zmocněnci akcionářů navíc odevzdají písemnou plnou moc s úředně </w:t>
      </w:r>
      <w:r w:rsidRPr="00AC08EE">
        <w:rPr>
          <w:rFonts w:eastAsia="Times New Roman" w:cs="Arial"/>
          <w:lang w:val="cs-CZ" w:eastAsia="cs-CZ"/>
        </w:rPr>
        <w:lastRenderedPageBreak/>
        <w:t>ověřeným podpisem zmocnitele. Z plné moci musí vyplývat, zda byla akcionářem zástupci udělena pro zastoupení na jedné nebo více valných hromadách Společnosti v určitém období.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Nahlédnout do účetní závěrky mají akcionáři možnost v sídle Společnosti vždy</w:t>
      </w:r>
      <w:r w:rsidR="001D116A" w:rsidRPr="00AC08EE">
        <w:rPr>
          <w:rFonts w:eastAsia="Times New Roman" w:cs="Arial"/>
          <w:lang w:val="cs-CZ" w:eastAsia="cs-CZ"/>
        </w:rPr>
        <w:t xml:space="preserve"> v</w:t>
      </w:r>
      <w:r w:rsidR="003C1B0E" w:rsidRPr="00AC08EE">
        <w:rPr>
          <w:rFonts w:eastAsia="Times New Roman" w:cs="Arial"/>
          <w:lang w:val="cs-CZ" w:eastAsia="cs-CZ"/>
        </w:rPr>
        <w:t xml:space="preserve"> pondělí </w:t>
      </w:r>
      <w:r w:rsidR="001D116A" w:rsidRPr="00AC08EE">
        <w:rPr>
          <w:rFonts w:eastAsia="Times New Roman" w:cs="Arial"/>
          <w:lang w:val="cs-CZ" w:eastAsia="cs-CZ"/>
        </w:rPr>
        <w:t xml:space="preserve">od </w:t>
      </w:r>
      <w:r w:rsidR="003C1B0E" w:rsidRPr="00AC08EE">
        <w:rPr>
          <w:rFonts w:eastAsia="Times New Roman" w:cs="Arial"/>
          <w:lang w:val="cs-CZ" w:eastAsia="cs-CZ"/>
        </w:rPr>
        <w:t xml:space="preserve">9:00 </w:t>
      </w:r>
      <w:r w:rsidR="001D116A" w:rsidRPr="00AC08EE">
        <w:rPr>
          <w:rFonts w:eastAsia="Times New Roman" w:cs="Arial"/>
          <w:lang w:val="cs-CZ" w:eastAsia="cs-CZ"/>
        </w:rPr>
        <w:t>do</w:t>
      </w:r>
      <w:r w:rsidR="003C1B0E" w:rsidRPr="00AC08EE">
        <w:rPr>
          <w:rFonts w:eastAsia="Times New Roman" w:cs="Arial"/>
          <w:lang w:val="cs-CZ" w:eastAsia="cs-CZ"/>
        </w:rPr>
        <w:t xml:space="preserve"> 11:00</w:t>
      </w:r>
      <w:r w:rsidR="00A22039" w:rsidRPr="00AC08EE">
        <w:rPr>
          <w:rFonts w:eastAsia="Times New Roman" w:cs="Arial"/>
          <w:lang w:val="cs-CZ" w:eastAsia="cs-CZ"/>
        </w:rPr>
        <w:t>,</w:t>
      </w:r>
      <w:r w:rsidRPr="00AC08EE">
        <w:rPr>
          <w:rFonts w:eastAsia="Times New Roman" w:cs="Arial"/>
          <w:lang w:val="cs-CZ" w:eastAsia="cs-CZ"/>
        </w:rPr>
        <w:t xml:space="preserve"> a to počínaje dnem zveřejnění této pozvánky do dne konání valné hromady. Účetní závěrka bud</w:t>
      </w:r>
      <w:r w:rsidR="00A22039" w:rsidRPr="00AC08EE">
        <w:rPr>
          <w:rFonts w:eastAsia="Times New Roman" w:cs="Arial"/>
          <w:lang w:val="cs-CZ" w:eastAsia="cs-CZ"/>
        </w:rPr>
        <w:t>e</w:t>
      </w:r>
      <w:r w:rsidRPr="00AC08EE">
        <w:rPr>
          <w:rFonts w:eastAsia="Times New Roman" w:cs="Arial"/>
          <w:lang w:val="cs-CZ" w:eastAsia="cs-CZ"/>
        </w:rPr>
        <w:t xml:space="preserve"> v zákonem stanovené době </w:t>
      </w:r>
      <w:r w:rsidR="00E97C07" w:rsidRPr="00AC08EE">
        <w:rPr>
          <w:rFonts w:eastAsia="Times New Roman" w:cs="Arial"/>
          <w:lang w:val="cs-CZ" w:eastAsia="cs-CZ"/>
        </w:rPr>
        <w:t>zveřejněna</w:t>
      </w:r>
      <w:r w:rsidRPr="00AC08EE">
        <w:rPr>
          <w:rFonts w:eastAsia="Times New Roman" w:cs="Arial"/>
          <w:lang w:val="cs-CZ" w:eastAsia="cs-CZ"/>
        </w:rPr>
        <w:t xml:space="preserve"> na internetových stránkách Společnosti. Akcionář má právo vyžádat si na svůj náklad a své nebezpečí zaslání kopie projednávaných materiálů. Materiály předkládané k projednání a ke schválení valné hromadě budou k dispozici k nahlédnutí v den konání valné hromady v místě konání valné hromady.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 Návrhy usnesení k bodům pořadu valné hromady a jejich zdůvodnění: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 Návrh usnesení k bodu 1)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Valná hromada schvaluje pořad jednání valné hromady, předsedu valné hromady, zapisovatele, ověřovatele zápisu a osoby pověřené sčítáním hlasů.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Odůvodnění: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Pro řádný průběh valné hromady je třeba stanovit její průběh a navolit orgány stanovené zákonem.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K bodu 2)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Zpráva </w:t>
      </w:r>
      <w:r w:rsidR="00A26869">
        <w:rPr>
          <w:rFonts w:eastAsia="Times New Roman" w:cs="Arial"/>
          <w:lang w:val="cs-CZ" w:eastAsia="cs-CZ"/>
        </w:rPr>
        <w:t xml:space="preserve">statutárního </w:t>
      </w:r>
      <w:r w:rsidR="00410F7B">
        <w:rPr>
          <w:rFonts w:eastAsia="Times New Roman" w:cs="Arial"/>
          <w:lang w:val="cs-CZ" w:eastAsia="cs-CZ"/>
        </w:rPr>
        <w:t>ředitele</w:t>
      </w:r>
      <w:r w:rsidRPr="00AC08EE">
        <w:rPr>
          <w:rFonts w:eastAsia="Times New Roman" w:cs="Arial"/>
          <w:lang w:val="cs-CZ" w:eastAsia="cs-CZ"/>
        </w:rPr>
        <w:t xml:space="preserve"> o podnikatelské činnosti společnosti je valné hromadě každoročně předkládána v souladu se zákonem a stanovami Společnosti. V rámci tohoto bodu se hlasování nepředpokládá.</w:t>
      </w:r>
    </w:p>
    <w:p w:rsidR="00756829" w:rsidRPr="00AC08EE" w:rsidRDefault="00A73A5C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 K bodu 3</w:t>
      </w:r>
      <w:r w:rsidR="00756829" w:rsidRPr="00AC08EE">
        <w:rPr>
          <w:rFonts w:eastAsia="Times New Roman" w:cs="Arial"/>
          <w:lang w:val="cs-CZ" w:eastAsia="cs-CZ"/>
        </w:rPr>
        <w:t>)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Zpráva </w:t>
      </w:r>
      <w:r w:rsidR="00A26869">
        <w:rPr>
          <w:rFonts w:eastAsia="Times New Roman" w:cs="Arial"/>
          <w:lang w:val="cs-CZ" w:eastAsia="cs-CZ"/>
        </w:rPr>
        <w:t xml:space="preserve">správní rady </w:t>
      </w:r>
      <w:r w:rsidRPr="00AC08EE">
        <w:rPr>
          <w:rFonts w:eastAsia="Times New Roman" w:cs="Arial"/>
          <w:lang w:val="cs-CZ" w:eastAsia="cs-CZ"/>
        </w:rPr>
        <w:t xml:space="preserve">o výsledcích kontrolní činnosti je valné hromadě každoročně předkládána v souladu se zákonem a stanovami Společnosti. Součástí zprávy </w:t>
      </w:r>
      <w:r w:rsidR="00A26869">
        <w:rPr>
          <w:rFonts w:eastAsia="Times New Roman" w:cs="Arial"/>
          <w:lang w:val="cs-CZ" w:eastAsia="cs-CZ"/>
        </w:rPr>
        <w:t>správní</w:t>
      </w:r>
      <w:r w:rsidRPr="00AC08EE">
        <w:rPr>
          <w:rFonts w:eastAsia="Times New Roman" w:cs="Arial"/>
          <w:lang w:val="cs-CZ" w:eastAsia="cs-CZ"/>
        </w:rPr>
        <w:t xml:space="preserve"> rady o výsledcích kontrolní činnosti je i vyjádření k řádné účetní závěrce Společnost</w:t>
      </w:r>
      <w:r w:rsidR="00A26869">
        <w:rPr>
          <w:rFonts w:eastAsia="Times New Roman" w:cs="Arial"/>
          <w:lang w:val="cs-CZ" w:eastAsia="cs-CZ"/>
        </w:rPr>
        <w:t xml:space="preserve"> a</w:t>
      </w:r>
      <w:r w:rsidRPr="00AC08EE">
        <w:rPr>
          <w:rFonts w:eastAsia="Times New Roman" w:cs="Arial"/>
          <w:lang w:val="cs-CZ" w:eastAsia="cs-CZ"/>
        </w:rPr>
        <w:t xml:space="preserve"> k návrhu na vypořádání hospodářského</w:t>
      </w:r>
      <w:r w:rsidR="00A26869">
        <w:rPr>
          <w:rFonts w:eastAsia="Times New Roman" w:cs="Arial"/>
          <w:lang w:val="cs-CZ" w:eastAsia="cs-CZ"/>
        </w:rPr>
        <w:t xml:space="preserve"> výsledku. </w:t>
      </w:r>
      <w:r w:rsidRPr="00AC08EE">
        <w:rPr>
          <w:rFonts w:eastAsia="Times New Roman" w:cs="Arial"/>
          <w:lang w:val="cs-CZ" w:eastAsia="cs-CZ"/>
        </w:rPr>
        <w:t>V rámci tohoto bodu se hlasování nepředpokládá.</w:t>
      </w:r>
    </w:p>
    <w:p w:rsidR="00756829" w:rsidRPr="00AC08EE" w:rsidRDefault="00A73A5C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 Návrh usnesení k bodu 4</w:t>
      </w:r>
      <w:r w:rsidR="00756829" w:rsidRPr="00AC08EE">
        <w:rPr>
          <w:rFonts w:eastAsia="Times New Roman" w:cs="Arial"/>
          <w:lang w:val="cs-CZ" w:eastAsia="cs-CZ"/>
        </w:rPr>
        <w:t>)</w:t>
      </w:r>
    </w:p>
    <w:p w:rsidR="00A2203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Valná hromada schvaluje účetní</w:t>
      </w:r>
      <w:r w:rsidR="00A73A5C" w:rsidRPr="00AC08EE">
        <w:rPr>
          <w:rFonts w:eastAsia="Times New Roman" w:cs="Arial"/>
          <w:lang w:val="cs-CZ" w:eastAsia="cs-CZ"/>
        </w:rPr>
        <w:t xml:space="preserve"> závěrku Společnosti za rok 201</w:t>
      </w:r>
      <w:r w:rsidR="005C3143">
        <w:rPr>
          <w:rFonts w:eastAsia="Times New Roman" w:cs="Arial"/>
          <w:lang w:val="cs-CZ" w:eastAsia="cs-CZ"/>
        </w:rPr>
        <w:t>7</w:t>
      </w:r>
      <w:r w:rsidRPr="00AC08EE">
        <w:rPr>
          <w:rFonts w:eastAsia="Times New Roman" w:cs="Arial"/>
          <w:lang w:val="cs-CZ" w:eastAsia="cs-CZ"/>
        </w:rPr>
        <w:t xml:space="preserve"> a rozhoduje o vypořádání hospodářského výsledku v souladu s návrhem </w:t>
      </w:r>
      <w:r w:rsidR="00A26869">
        <w:rPr>
          <w:rFonts w:eastAsia="Times New Roman" w:cs="Arial"/>
          <w:lang w:val="cs-CZ" w:eastAsia="cs-CZ"/>
        </w:rPr>
        <w:t>statutárního ředitele</w:t>
      </w:r>
      <w:r w:rsidRPr="00AC08EE">
        <w:rPr>
          <w:rFonts w:eastAsia="Times New Roman" w:cs="Arial"/>
          <w:lang w:val="cs-CZ" w:eastAsia="cs-CZ"/>
        </w:rPr>
        <w:t>. Hospodářským výsledkem společnosti za rok 201</w:t>
      </w:r>
      <w:r w:rsidR="005C3143">
        <w:rPr>
          <w:rFonts w:eastAsia="Times New Roman" w:cs="Arial"/>
          <w:lang w:val="cs-CZ" w:eastAsia="cs-CZ"/>
        </w:rPr>
        <w:t>7</w:t>
      </w:r>
      <w:r w:rsidRPr="00AC08EE">
        <w:rPr>
          <w:rFonts w:eastAsia="Times New Roman" w:cs="Arial"/>
          <w:lang w:val="cs-CZ" w:eastAsia="cs-CZ"/>
        </w:rPr>
        <w:t xml:space="preserve"> je</w:t>
      </w:r>
      <w:r w:rsidR="00C76A71" w:rsidRPr="00AC08EE">
        <w:rPr>
          <w:rFonts w:eastAsia="Times New Roman" w:cs="Arial"/>
          <w:lang w:val="cs-CZ" w:eastAsia="cs-CZ"/>
        </w:rPr>
        <w:t xml:space="preserve"> zisk </w:t>
      </w:r>
      <w:r w:rsidR="005C3143">
        <w:rPr>
          <w:rFonts w:eastAsia="Times New Roman" w:cs="Arial"/>
          <w:lang w:val="cs-CZ" w:eastAsia="cs-CZ"/>
        </w:rPr>
        <w:t xml:space="preserve">20 617 283,62 </w:t>
      </w:r>
      <w:r w:rsidR="000633B4">
        <w:rPr>
          <w:rFonts w:eastAsia="Times New Roman" w:cs="Arial"/>
          <w:lang w:val="cs-CZ" w:eastAsia="cs-CZ"/>
        </w:rPr>
        <w:t xml:space="preserve"> </w:t>
      </w:r>
      <w:r w:rsidRPr="00AC08EE">
        <w:rPr>
          <w:rFonts w:eastAsia="Times New Roman" w:cs="Arial"/>
          <w:lang w:val="cs-CZ" w:eastAsia="cs-CZ"/>
        </w:rPr>
        <w:t>Kč</w:t>
      </w:r>
      <w:r w:rsidR="001D116A" w:rsidRPr="00AC08EE">
        <w:rPr>
          <w:rFonts w:eastAsia="Times New Roman" w:cs="Arial"/>
          <w:lang w:val="cs-CZ" w:eastAsia="cs-CZ"/>
        </w:rPr>
        <w:t>.</w:t>
      </w:r>
      <w:r w:rsidR="003C1B0E" w:rsidRPr="00AC08EE">
        <w:rPr>
          <w:rFonts w:eastAsia="Times New Roman" w:cs="Arial"/>
          <w:lang w:val="cs-CZ" w:eastAsia="cs-CZ"/>
        </w:rPr>
        <w:t xml:space="preserve"> 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Odůvodnění:</w:t>
      </w:r>
    </w:p>
    <w:p w:rsidR="00756829" w:rsidRPr="00AC08EE" w:rsidRDefault="00756829" w:rsidP="00756829">
      <w:pPr>
        <w:spacing w:before="120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V souladu s příslušnými ustanoveními zákona a stanov Společnosti předkládá </w:t>
      </w:r>
      <w:r w:rsidR="00A26869">
        <w:rPr>
          <w:rFonts w:eastAsia="Times New Roman" w:cs="Arial"/>
          <w:lang w:val="cs-CZ" w:eastAsia="cs-CZ"/>
        </w:rPr>
        <w:t>statutární ředitel</w:t>
      </w:r>
      <w:r w:rsidRPr="00AC08EE">
        <w:rPr>
          <w:rFonts w:eastAsia="Times New Roman" w:cs="Arial"/>
          <w:lang w:val="cs-CZ" w:eastAsia="cs-CZ"/>
        </w:rPr>
        <w:t xml:space="preserve"> účetní závěrku ke schválení valné hromadě</w:t>
      </w:r>
      <w:r w:rsidR="00A26869">
        <w:rPr>
          <w:rFonts w:eastAsia="Times New Roman" w:cs="Arial"/>
          <w:lang w:val="cs-CZ" w:eastAsia="cs-CZ"/>
        </w:rPr>
        <w:t xml:space="preserve"> Společnosti</w:t>
      </w:r>
      <w:r w:rsidRPr="00AC08EE">
        <w:rPr>
          <w:rFonts w:eastAsia="Times New Roman" w:cs="Arial"/>
          <w:lang w:val="cs-CZ" w:eastAsia="cs-CZ"/>
        </w:rPr>
        <w:t xml:space="preserve">. Účetní závěrka byla zpracována v souladu s požadavky zákona o účetnictví, projednána v představenstvu Společnosti, ověřena nezávislým </w:t>
      </w:r>
      <w:r w:rsidRPr="00AC08EE">
        <w:rPr>
          <w:rFonts w:eastAsia="Times New Roman" w:cs="Arial"/>
          <w:lang w:val="cs-CZ" w:eastAsia="cs-CZ"/>
        </w:rPr>
        <w:lastRenderedPageBreak/>
        <w:t xml:space="preserve">auditorem a přezkoumána </w:t>
      </w:r>
      <w:r w:rsidR="00A26869">
        <w:rPr>
          <w:rFonts w:eastAsia="Times New Roman" w:cs="Arial"/>
          <w:lang w:val="cs-CZ" w:eastAsia="cs-CZ"/>
        </w:rPr>
        <w:t xml:space="preserve">správní </w:t>
      </w:r>
      <w:r w:rsidRPr="00AC08EE">
        <w:rPr>
          <w:rFonts w:eastAsia="Times New Roman" w:cs="Arial"/>
          <w:lang w:val="cs-CZ" w:eastAsia="cs-CZ"/>
        </w:rPr>
        <w:t>radou Společnosti se závěrem, že valné hromadě doporučuje jejich schválení. Z</w:t>
      </w:r>
      <w:r w:rsidR="001D116A" w:rsidRPr="00AC08EE">
        <w:rPr>
          <w:rFonts w:eastAsia="Times New Roman" w:cs="Arial"/>
          <w:lang w:val="cs-CZ" w:eastAsia="cs-CZ"/>
        </w:rPr>
        <w:t>isk</w:t>
      </w:r>
      <w:r w:rsidR="008C1109" w:rsidRPr="00AC08EE">
        <w:rPr>
          <w:rFonts w:eastAsia="Times New Roman" w:cs="Arial"/>
          <w:lang w:val="cs-CZ" w:eastAsia="cs-CZ"/>
        </w:rPr>
        <w:t xml:space="preserve"> </w:t>
      </w:r>
      <w:r w:rsidR="00E97C07" w:rsidRPr="00AC08EE">
        <w:rPr>
          <w:rFonts w:eastAsia="Times New Roman" w:cs="Arial"/>
          <w:lang w:val="cs-CZ" w:eastAsia="cs-CZ"/>
        </w:rPr>
        <w:t>S</w:t>
      </w:r>
      <w:r w:rsidRPr="00AC08EE">
        <w:rPr>
          <w:rFonts w:eastAsia="Times New Roman" w:cs="Arial"/>
          <w:lang w:val="cs-CZ" w:eastAsia="cs-CZ"/>
        </w:rPr>
        <w:t xml:space="preserve">polečnosti za rok </w:t>
      </w:r>
      <w:r w:rsidR="00E7527C" w:rsidRPr="00AC08EE">
        <w:rPr>
          <w:rFonts w:eastAsia="Times New Roman" w:cs="Arial"/>
          <w:lang w:val="cs-CZ" w:eastAsia="cs-CZ"/>
        </w:rPr>
        <w:t>201</w:t>
      </w:r>
      <w:r w:rsidR="009E6448">
        <w:rPr>
          <w:rFonts w:eastAsia="Times New Roman" w:cs="Arial"/>
          <w:lang w:val="cs-CZ" w:eastAsia="cs-CZ"/>
        </w:rPr>
        <w:t>7</w:t>
      </w:r>
      <w:r w:rsidR="00E7527C" w:rsidRPr="00AC08EE">
        <w:rPr>
          <w:rFonts w:eastAsia="Times New Roman" w:cs="Arial"/>
          <w:lang w:val="cs-CZ" w:eastAsia="cs-CZ"/>
        </w:rPr>
        <w:t xml:space="preserve"> je </w:t>
      </w:r>
      <w:r w:rsidR="005C3143">
        <w:rPr>
          <w:rFonts w:eastAsia="Times New Roman" w:cs="Arial"/>
          <w:lang w:val="cs-CZ" w:eastAsia="cs-CZ"/>
        </w:rPr>
        <w:t xml:space="preserve">20 617 283,62 </w:t>
      </w:r>
      <w:r w:rsidR="00E7527C" w:rsidRPr="00AC08EE">
        <w:rPr>
          <w:rFonts w:eastAsia="Times New Roman" w:cs="Arial"/>
          <w:lang w:val="cs-CZ" w:eastAsia="cs-CZ"/>
        </w:rPr>
        <w:t>Kč</w:t>
      </w:r>
      <w:r w:rsidR="00C76A71" w:rsidRPr="00AC08EE">
        <w:rPr>
          <w:rFonts w:eastAsia="Times New Roman" w:cs="Arial"/>
          <w:lang w:val="cs-CZ" w:eastAsia="cs-CZ"/>
        </w:rPr>
        <w:t>.</w:t>
      </w:r>
    </w:p>
    <w:p w:rsidR="005F6E80" w:rsidRPr="00AC08EE" w:rsidRDefault="005F6E80" w:rsidP="00756829">
      <w:pPr>
        <w:spacing w:before="120" w:line="300" w:lineRule="auto"/>
        <w:rPr>
          <w:rFonts w:eastAsia="Times New Roman" w:cs="Arial"/>
          <w:lang w:val="cs-CZ" w:eastAsia="cs-CZ"/>
        </w:rPr>
      </w:pPr>
    </w:p>
    <w:p w:rsidR="005F6E80" w:rsidRPr="00AC08EE" w:rsidRDefault="005F6E80" w:rsidP="005F6E80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Hlavní údaje z Účetní závěrky Společnosti za rok 201</w:t>
      </w:r>
      <w:r w:rsidR="00F0791D">
        <w:rPr>
          <w:rFonts w:eastAsia="Times New Roman" w:cs="Arial"/>
          <w:lang w:val="cs-CZ" w:eastAsia="cs-CZ"/>
        </w:rPr>
        <w:t>7</w:t>
      </w:r>
      <w:r w:rsidR="00A22039" w:rsidRPr="00AC08EE">
        <w:rPr>
          <w:rFonts w:eastAsia="Times New Roman" w:cs="Arial"/>
          <w:lang w:val="cs-CZ" w:eastAsia="cs-CZ"/>
        </w:rPr>
        <w:t xml:space="preserve"> </w:t>
      </w:r>
      <w:r w:rsidRPr="00AC08EE">
        <w:rPr>
          <w:rFonts w:eastAsia="Times New Roman" w:cs="Arial"/>
          <w:lang w:val="cs-CZ" w:eastAsia="cs-CZ"/>
        </w:rPr>
        <w:t>/v tis. Kč/</w:t>
      </w:r>
      <w:r w:rsidR="00A22039" w:rsidRPr="00AC08EE">
        <w:rPr>
          <w:rFonts w:eastAsia="Times New Roman" w:cs="Arial"/>
          <w:lang w:val="cs-CZ" w:eastAsia="cs-CZ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02"/>
        <w:gridCol w:w="75"/>
        <w:gridCol w:w="75"/>
        <w:gridCol w:w="2259"/>
        <w:gridCol w:w="2259"/>
      </w:tblGrid>
      <w:tr w:rsidR="008C1109" w:rsidRPr="00AC08EE" w:rsidTr="008C1109">
        <w:trPr>
          <w:trHeight w:val="30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0633B4" w:rsidP="005C3143">
            <w:pPr>
              <w:spacing w:line="300" w:lineRule="auto"/>
              <w:rPr>
                <w:rFonts w:eastAsia="Times New Roman" w:cs="Arial"/>
                <w:lang w:val="cs-CZ" w:eastAsia="cs-CZ"/>
              </w:rPr>
            </w:pPr>
            <w:r>
              <w:rPr>
                <w:rFonts w:eastAsia="Times New Roman" w:cs="Arial"/>
                <w:lang w:val="cs-CZ" w:eastAsia="cs-CZ"/>
              </w:rPr>
              <w:t>Stálá aktiva  </w:t>
            </w:r>
            <w:r w:rsidR="005C3143">
              <w:rPr>
                <w:rFonts w:eastAsia="Times New Roman" w:cs="Arial"/>
                <w:lang w:val="cs-CZ" w:eastAsia="cs-CZ"/>
              </w:rPr>
              <w:t xml:space="preserve">117 696 </w:t>
            </w:r>
            <w:r w:rsidR="008C1109" w:rsidRPr="00AC08EE">
              <w:rPr>
                <w:rFonts w:eastAsia="Times New Roman" w:cs="Arial"/>
                <w:lang w:val="cs-CZ" w:eastAsia="cs-CZ"/>
              </w:rPr>
              <w:t> tis. CZK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0633B4" w:rsidP="005C3143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  <w:r>
              <w:rPr>
                <w:rFonts w:eastAsia="Times New Roman" w:cs="Arial"/>
                <w:lang w:val="cs-CZ" w:eastAsia="cs-CZ"/>
              </w:rPr>
              <w:t>Vlastní kapitál  </w:t>
            </w:r>
            <w:r w:rsidR="005C3143">
              <w:rPr>
                <w:rFonts w:eastAsia="Times New Roman" w:cs="Arial"/>
                <w:lang w:val="cs-CZ" w:eastAsia="cs-CZ"/>
              </w:rPr>
              <w:t>108 329</w:t>
            </w:r>
            <w:r w:rsidR="008C1109" w:rsidRPr="00AC08EE">
              <w:rPr>
                <w:rFonts w:eastAsia="Times New Roman" w:cs="Arial"/>
                <w:lang w:val="cs-CZ" w:eastAsia="cs-CZ"/>
              </w:rPr>
              <w:t xml:space="preserve"> tis. CZK</w:t>
            </w:r>
          </w:p>
        </w:tc>
      </w:tr>
      <w:tr w:rsidR="008C1109" w:rsidRPr="00AC08EE" w:rsidTr="008C1109">
        <w:trPr>
          <w:trHeight w:val="30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8C1109" w:rsidP="005C3143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  <w:r w:rsidRPr="00AC08EE">
              <w:rPr>
                <w:rFonts w:eastAsia="Times New Roman" w:cs="Arial"/>
                <w:lang w:val="cs-CZ" w:eastAsia="cs-CZ"/>
              </w:rPr>
              <w:t>Oběžná aktiva  </w:t>
            </w:r>
            <w:r w:rsidR="005C3143">
              <w:rPr>
                <w:rFonts w:eastAsia="Times New Roman" w:cs="Arial"/>
                <w:lang w:val="cs-CZ" w:eastAsia="cs-CZ"/>
              </w:rPr>
              <w:t>103 231</w:t>
            </w:r>
            <w:r w:rsidR="000633B4">
              <w:rPr>
                <w:rFonts w:eastAsia="Times New Roman" w:cs="Arial"/>
                <w:lang w:val="cs-CZ" w:eastAsia="cs-CZ"/>
              </w:rPr>
              <w:t xml:space="preserve"> </w:t>
            </w:r>
            <w:r w:rsidRPr="00AC08EE">
              <w:rPr>
                <w:rFonts w:eastAsia="Times New Roman" w:cs="Arial"/>
                <w:lang w:val="cs-CZ" w:eastAsia="cs-CZ"/>
              </w:rPr>
              <w:t>tis. CZK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0633B4" w:rsidP="005C3143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  <w:r>
              <w:rPr>
                <w:rFonts w:eastAsia="Times New Roman" w:cs="Arial"/>
                <w:lang w:val="cs-CZ" w:eastAsia="cs-CZ"/>
              </w:rPr>
              <w:t>Cizí zdroje </w:t>
            </w:r>
            <w:r w:rsidR="008C1109" w:rsidRPr="00AC08EE">
              <w:rPr>
                <w:rFonts w:eastAsia="Times New Roman" w:cs="Arial"/>
                <w:lang w:val="cs-CZ" w:eastAsia="cs-CZ"/>
              </w:rPr>
              <w:t xml:space="preserve"> </w:t>
            </w:r>
            <w:r w:rsidR="005C3143">
              <w:rPr>
                <w:rFonts w:eastAsia="Times New Roman" w:cs="Arial"/>
                <w:lang w:val="cs-CZ" w:eastAsia="cs-CZ"/>
              </w:rPr>
              <w:t>116 168</w:t>
            </w:r>
            <w:r>
              <w:rPr>
                <w:rFonts w:eastAsia="Times New Roman" w:cs="Arial"/>
                <w:lang w:val="cs-CZ" w:eastAsia="cs-CZ"/>
              </w:rPr>
              <w:t> </w:t>
            </w:r>
            <w:r w:rsidR="00EE1DAD" w:rsidRPr="00AC08EE">
              <w:rPr>
                <w:rFonts w:eastAsia="Times New Roman" w:cs="Arial"/>
                <w:lang w:val="cs-CZ" w:eastAsia="cs-CZ"/>
              </w:rPr>
              <w:t>tis.</w:t>
            </w:r>
            <w:r w:rsidR="008C1109" w:rsidRPr="00AC08EE">
              <w:rPr>
                <w:rFonts w:eastAsia="Times New Roman" w:cs="Arial"/>
                <w:lang w:val="cs-CZ" w:eastAsia="cs-CZ"/>
              </w:rPr>
              <w:t xml:space="preserve"> CZK</w:t>
            </w:r>
          </w:p>
        </w:tc>
      </w:tr>
      <w:tr w:rsidR="008C1109" w:rsidRPr="00AC08EE" w:rsidTr="008C1109">
        <w:trPr>
          <w:trHeight w:val="30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0633B4" w:rsidP="005C3143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  <w:r>
              <w:rPr>
                <w:rFonts w:eastAsia="Times New Roman" w:cs="Arial"/>
                <w:lang w:val="cs-CZ" w:eastAsia="cs-CZ"/>
              </w:rPr>
              <w:t>Ostatní aktiva</w:t>
            </w:r>
            <w:r w:rsidR="005C3143">
              <w:rPr>
                <w:rFonts w:eastAsia="Times New Roman" w:cs="Arial"/>
                <w:lang w:val="cs-CZ" w:eastAsia="cs-CZ"/>
              </w:rPr>
              <w:t xml:space="preserve"> 3 621 </w:t>
            </w:r>
            <w:r w:rsidR="008C1109" w:rsidRPr="00AC08EE">
              <w:rPr>
                <w:rFonts w:eastAsia="Times New Roman" w:cs="Arial"/>
                <w:lang w:val="cs-CZ" w:eastAsia="cs-CZ"/>
              </w:rPr>
              <w:t>tis. CZK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0633B4" w:rsidP="005C3143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  <w:r>
              <w:rPr>
                <w:rFonts w:eastAsia="Times New Roman" w:cs="Arial"/>
                <w:lang w:val="cs-CZ" w:eastAsia="cs-CZ"/>
              </w:rPr>
              <w:t>Ostatní pasiva  </w:t>
            </w:r>
            <w:r w:rsidR="005C3143">
              <w:rPr>
                <w:rFonts w:eastAsia="Times New Roman" w:cs="Arial"/>
                <w:lang w:val="cs-CZ" w:eastAsia="cs-CZ"/>
              </w:rPr>
              <w:t>51</w:t>
            </w:r>
            <w:r>
              <w:rPr>
                <w:rFonts w:eastAsia="Times New Roman" w:cs="Arial"/>
                <w:lang w:val="cs-CZ" w:eastAsia="cs-CZ"/>
              </w:rPr>
              <w:t> </w:t>
            </w:r>
            <w:r w:rsidR="008C1109" w:rsidRPr="00AC08EE">
              <w:rPr>
                <w:rFonts w:eastAsia="Times New Roman" w:cs="Arial"/>
                <w:lang w:val="cs-CZ" w:eastAsia="cs-CZ"/>
              </w:rPr>
              <w:t>tis. CZK</w:t>
            </w:r>
          </w:p>
        </w:tc>
      </w:tr>
      <w:tr w:rsidR="008C1109" w:rsidRPr="00AC08EE" w:rsidTr="008C1109">
        <w:trPr>
          <w:trHeight w:val="30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8C1109" w:rsidP="005C3143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  <w:r w:rsidRPr="00AC08EE">
              <w:rPr>
                <w:rFonts w:eastAsia="Times New Roman" w:cs="Arial"/>
                <w:lang w:val="cs-CZ" w:eastAsia="cs-CZ"/>
              </w:rPr>
              <w:t>Celkové výnosy </w:t>
            </w:r>
            <w:r w:rsidR="000633B4">
              <w:rPr>
                <w:rFonts w:eastAsia="Times New Roman" w:cs="Arial"/>
                <w:lang w:val="cs-CZ" w:eastAsia="cs-CZ"/>
              </w:rPr>
              <w:t xml:space="preserve"> </w:t>
            </w:r>
            <w:r w:rsidR="005C3143">
              <w:rPr>
                <w:rFonts w:eastAsia="Times New Roman" w:cs="Arial"/>
                <w:lang w:val="cs-CZ" w:eastAsia="cs-CZ"/>
              </w:rPr>
              <w:t>373 221</w:t>
            </w:r>
            <w:r w:rsidRPr="00AC08EE">
              <w:rPr>
                <w:rFonts w:eastAsia="Times New Roman" w:cs="Arial"/>
                <w:lang w:val="cs-CZ" w:eastAsia="cs-CZ"/>
              </w:rPr>
              <w:t>  tis.</w:t>
            </w:r>
            <w:r w:rsidR="005C3143">
              <w:rPr>
                <w:rFonts w:eastAsia="Times New Roman" w:cs="Arial"/>
                <w:lang w:val="cs-CZ" w:eastAsia="cs-CZ"/>
              </w:rPr>
              <w:t xml:space="preserve"> </w:t>
            </w:r>
            <w:r w:rsidRPr="00AC08EE">
              <w:rPr>
                <w:rFonts w:eastAsia="Times New Roman" w:cs="Arial"/>
                <w:lang w:val="cs-CZ" w:eastAsia="cs-CZ"/>
              </w:rPr>
              <w:t>CZK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1109" w:rsidRPr="00AC08EE" w:rsidRDefault="008C1109" w:rsidP="008C1109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1109" w:rsidRPr="00AC08EE" w:rsidRDefault="00A640CD" w:rsidP="005C3143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  <w:r w:rsidRPr="00AC08EE">
              <w:rPr>
                <w:rFonts w:eastAsia="Times New Roman" w:cs="Arial"/>
                <w:lang w:val="cs-CZ" w:eastAsia="cs-CZ"/>
              </w:rPr>
              <w:t>Celkové náklady   </w:t>
            </w:r>
            <w:r w:rsidR="005C3143">
              <w:rPr>
                <w:rFonts w:eastAsia="Times New Roman" w:cs="Arial"/>
                <w:lang w:val="cs-CZ" w:eastAsia="cs-CZ"/>
              </w:rPr>
              <w:t>352 604</w:t>
            </w:r>
            <w:r w:rsidRPr="00AC08EE">
              <w:rPr>
                <w:rFonts w:eastAsia="Times New Roman" w:cs="Arial"/>
                <w:lang w:val="cs-CZ" w:eastAsia="cs-CZ"/>
              </w:rPr>
              <w:t> </w:t>
            </w:r>
            <w:r w:rsidR="008C1109" w:rsidRPr="00AC08EE">
              <w:rPr>
                <w:rFonts w:eastAsia="Times New Roman" w:cs="Arial"/>
                <w:lang w:val="cs-CZ" w:eastAsia="cs-CZ"/>
              </w:rPr>
              <w:t>tis. CZK</w:t>
            </w:r>
          </w:p>
        </w:tc>
      </w:tr>
      <w:tr w:rsidR="005F6E80" w:rsidRPr="00AC08EE" w:rsidTr="004E3995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</w:tr>
      <w:tr w:rsidR="005F6E80" w:rsidRPr="00AC08EE" w:rsidTr="004E3995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</w:tr>
      <w:tr w:rsidR="005F6E80" w:rsidRPr="00AC08EE" w:rsidTr="004E3995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</w:tr>
      <w:tr w:rsidR="005F6E80" w:rsidRPr="00AC08EE" w:rsidTr="004E3995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</w:tr>
      <w:tr w:rsidR="005F6E80" w:rsidRPr="00AC08EE" w:rsidTr="004E3995">
        <w:trPr>
          <w:trHeight w:val="300"/>
        </w:trPr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  <w:r w:rsidRPr="00AC08EE">
              <w:rPr>
                <w:rFonts w:eastAsia="Times New Roman" w:cs="Arial"/>
                <w:lang w:val="cs-CZ"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  <w:r w:rsidRPr="00AC08EE">
              <w:rPr>
                <w:rFonts w:eastAsia="Times New Roman" w:cs="Arial"/>
                <w:lang w:val="cs-CZ"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  <w:r w:rsidRPr="00AC08EE">
              <w:rPr>
                <w:rFonts w:eastAsia="Times New Roman" w:cs="Arial"/>
                <w:lang w:val="cs-CZ"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  <w:r w:rsidRPr="00AC08EE">
              <w:rPr>
                <w:rFonts w:eastAsia="Times New Roman" w:cs="Arial"/>
                <w:lang w:val="cs-CZ" w:eastAsia="cs-CZ"/>
              </w:rPr>
              <w:t> </w:t>
            </w:r>
          </w:p>
        </w:tc>
      </w:tr>
      <w:tr w:rsidR="005F6E80" w:rsidRPr="00AC08EE" w:rsidTr="004E3995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:rsidR="005F6E80" w:rsidRPr="00AC08EE" w:rsidRDefault="005F6E80" w:rsidP="008C1109">
            <w:pPr>
              <w:spacing w:before="120" w:after="216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before="120" w:after="216" w:line="300" w:lineRule="auto"/>
              <w:jc w:val="right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6E80" w:rsidRPr="00AC08EE" w:rsidRDefault="005F6E80" w:rsidP="004E3995">
            <w:pPr>
              <w:spacing w:after="0" w:line="300" w:lineRule="auto"/>
              <w:rPr>
                <w:rFonts w:eastAsia="Times New Roman" w:cs="Arial"/>
                <w:lang w:val="cs-CZ" w:eastAsia="cs-CZ"/>
              </w:rPr>
            </w:pPr>
          </w:p>
        </w:tc>
      </w:tr>
    </w:tbl>
    <w:p w:rsidR="00A22039" w:rsidRPr="00AC08EE" w:rsidRDefault="00A73A5C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Návrh usnesení k bodu 5</w:t>
      </w:r>
      <w:r w:rsidR="00756829" w:rsidRPr="00AC08EE">
        <w:rPr>
          <w:rFonts w:eastAsia="Times New Roman" w:cs="Arial"/>
          <w:lang w:val="cs-CZ" w:eastAsia="cs-CZ"/>
        </w:rPr>
        <w:t>)</w:t>
      </w:r>
    </w:p>
    <w:p w:rsidR="00AC08EE" w:rsidRDefault="00A2203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Valná hromada </w:t>
      </w:r>
      <w:r w:rsidR="00AC08EE">
        <w:rPr>
          <w:rFonts w:eastAsia="Times New Roman" w:cs="Arial"/>
          <w:lang w:val="cs-CZ" w:eastAsia="cs-CZ"/>
        </w:rPr>
        <w:t xml:space="preserve">schvaluje </w:t>
      </w:r>
      <w:r w:rsidRPr="00AC08EE">
        <w:rPr>
          <w:rFonts w:eastAsia="Times New Roman" w:cs="Arial"/>
          <w:lang w:val="cs-CZ" w:eastAsia="cs-CZ"/>
        </w:rPr>
        <w:t xml:space="preserve">rozdělení zisku </w:t>
      </w:r>
      <w:r w:rsidR="00AC08EE">
        <w:rPr>
          <w:rFonts w:eastAsia="Times New Roman" w:cs="Arial"/>
          <w:lang w:val="cs-CZ" w:eastAsia="cs-CZ"/>
        </w:rPr>
        <w:t>společnosti Colognia press, a.s. za rok 201</w:t>
      </w:r>
      <w:r w:rsidR="009E6448">
        <w:rPr>
          <w:rFonts w:eastAsia="Times New Roman" w:cs="Arial"/>
          <w:lang w:val="cs-CZ" w:eastAsia="cs-CZ"/>
        </w:rPr>
        <w:t>7</w:t>
      </w:r>
      <w:r w:rsidR="00AC08EE">
        <w:rPr>
          <w:rFonts w:eastAsia="Times New Roman" w:cs="Arial"/>
          <w:lang w:val="cs-CZ" w:eastAsia="cs-CZ"/>
        </w:rPr>
        <w:t xml:space="preserve"> v celkové výši </w:t>
      </w:r>
      <w:r w:rsidRPr="00AC08EE">
        <w:rPr>
          <w:rFonts w:eastAsia="Times New Roman" w:cs="Arial"/>
          <w:lang w:val="cs-CZ" w:eastAsia="cs-CZ"/>
        </w:rPr>
        <w:t xml:space="preserve"> </w:t>
      </w:r>
      <w:r w:rsidR="005C3143">
        <w:rPr>
          <w:rFonts w:eastAsia="Times New Roman" w:cs="Arial"/>
          <w:lang w:val="cs-CZ" w:eastAsia="cs-CZ"/>
        </w:rPr>
        <w:t xml:space="preserve">20 617 283,62  </w:t>
      </w:r>
      <w:r w:rsidRPr="00AC08EE">
        <w:rPr>
          <w:rFonts w:eastAsia="Times New Roman" w:cs="Arial"/>
          <w:lang w:val="cs-CZ" w:eastAsia="cs-CZ"/>
        </w:rPr>
        <w:t xml:space="preserve">Kč </w:t>
      </w:r>
      <w:r w:rsidR="00AC08EE">
        <w:rPr>
          <w:rFonts w:eastAsia="Times New Roman" w:cs="Arial"/>
          <w:lang w:val="cs-CZ" w:eastAsia="cs-CZ"/>
        </w:rPr>
        <w:t>takto:</w:t>
      </w:r>
    </w:p>
    <w:p w:rsidR="00AC08EE" w:rsidRDefault="00AC08EE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>
        <w:rPr>
          <w:rFonts w:eastAsia="Times New Roman" w:cs="Arial"/>
          <w:lang w:val="cs-CZ" w:eastAsia="cs-CZ"/>
        </w:rPr>
        <w:t xml:space="preserve">Podíl na zisku k rozdělení (dividendy) </w:t>
      </w:r>
      <w:r w:rsidR="005C3143">
        <w:rPr>
          <w:rFonts w:eastAsia="Times New Roman" w:cs="Arial"/>
          <w:lang w:val="cs-CZ" w:eastAsia="cs-CZ"/>
        </w:rPr>
        <w:t>10 mil.</w:t>
      </w:r>
      <w:r w:rsidR="000633B4">
        <w:rPr>
          <w:rFonts w:eastAsia="Times New Roman" w:cs="Arial"/>
          <w:lang w:val="cs-CZ" w:eastAsia="cs-CZ"/>
        </w:rPr>
        <w:t xml:space="preserve"> Kč.</w:t>
      </w:r>
    </w:p>
    <w:p w:rsidR="00364F37" w:rsidRPr="00AC08EE" w:rsidRDefault="00AC08EE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>
        <w:rPr>
          <w:rFonts w:eastAsia="Times New Roman" w:cs="Arial"/>
          <w:lang w:val="cs-CZ" w:eastAsia="cs-CZ"/>
        </w:rPr>
        <w:t xml:space="preserve">Výše dividendy přepočtené na jednu </w:t>
      </w:r>
      <w:r w:rsidR="00235659">
        <w:rPr>
          <w:rFonts w:eastAsia="Times New Roman" w:cs="Arial"/>
          <w:lang w:val="cs-CZ" w:eastAsia="cs-CZ"/>
        </w:rPr>
        <w:t xml:space="preserve">akci činí </w:t>
      </w:r>
      <w:r w:rsidR="005C3143">
        <w:rPr>
          <w:rFonts w:eastAsia="Times New Roman" w:cs="Arial"/>
          <w:lang w:val="cs-CZ" w:eastAsia="cs-CZ"/>
        </w:rPr>
        <w:t xml:space="preserve">26 316 </w:t>
      </w:r>
      <w:r w:rsidR="00235659">
        <w:rPr>
          <w:rFonts w:eastAsia="Times New Roman" w:cs="Arial"/>
          <w:lang w:val="cs-CZ" w:eastAsia="cs-CZ"/>
        </w:rPr>
        <w:t xml:space="preserve">Kč na jednu akcii před zdaněním. Nárok na dividendu má akcionář, který je majitelem akcií společnosti Colognia press, a.s. ke dni konání </w:t>
      </w:r>
      <w:r w:rsidR="00A26869">
        <w:rPr>
          <w:rFonts w:eastAsia="Times New Roman" w:cs="Arial"/>
          <w:lang w:val="cs-CZ" w:eastAsia="cs-CZ"/>
        </w:rPr>
        <w:t xml:space="preserve">této řádné </w:t>
      </w:r>
      <w:r w:rsidR="00235659">
        <w:rPr>
          <w:rFonts w:eastAsia="Times New Roman" w:cs="Arial"/>
          <w:lang w:val="cs-CZ" w:eastAsia="cs-CZ"/>
        </w:rPr>
        <w:t>valné hromady.</w:t>
      </w:r>
    </w:p>
    <w:p w:rsidR="00A22039" w:rsidRDefault="00364F37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Dividend</w:t>
      </w:r>
      <w:r w:rsidR="00235659">
        <w:rPr>
          <w:rFonts w:eastAsia="Times New Roman" w:cs="Arial"/>
          <w:lang w:val="cs-CZ" w:eastAsia="cs-CZ"/>
        </w:rPr>
        <w:t>a</w:t>
      </w:r>
      <w:r w:rsidRPr="00AC08EE">
        <w:rPr>
          <w:rFonts w:eastAsia="Times New Roman" w:cs="Arial"/>
          <w:lang w:val="cs-CZ" w:eastAsia="cs-CZ"/>
        </w:rPr>
        <w:t xml:space="preserve"> j</w:t>
      </w:r>
      <w:r w:rsidR="00235659">
        <w:rPr>
          <w:rFonts w:eastAsia="Times New Roman" w:cs="Arial"/>
          <w:lang w:val="cs-CZ" w:eastAsia="cs-CZ"/>
        </w:rPr>
        <w:t>e</w:t>
      </w:r>
      <w:r w:rsidRPr="00AC08EE">
        <w:rPr>
          <w:rFonts w:eastAsia="Times New Roman" w:cs="Arial"/>
          <w:lang w:val="cs-CZ" w:eastAsia="cs-CZ"/>
        </w:rPr>
        <w:t xml:space="preserve"> splatn</w:t>
      </w:r>
      <w:r w:rsidR="00235659">
        <w:rPr>
          <w:rFonts w:eastAsia="Times New Roman" w:cs="Arial"/>
          <w:lang w:val="cs-CZ" w:eastAsia="cs-CZ"/>
        </w:rPr>
        <w:t>á</w:t>
      </w:r>
      <w:r w:rsidR="00F0791D">
        <w:rPr>
          <w:rFonts w:eastAsia="Times New Roman" w:cs="Arial"/>
          <w:lang w:val="cs-CZ" w:eastAsia="cs-CZ"/>
        </w:rPr>
        <w:t xml:space="preserve"> </w:t>
      </w:r>
      <w:r w:rsidR="00033152">
        <w:rPr>
          <w:rFonts w:eastAsia="Times New Roman" w:cs="Arial"/>
          <w:lang w:val="cs-CZ" w:eastAsia="cs-CZ"/>
        </w:rPr>
        <w:t xml:space="preserve">čtvrtletně do </w:t>
      </w:r>
      <w:r w:rsidR="005C3143">
        <w:rPr>
          <w:rFonts w:eastAsia="Times New Roman" w:cs="Arial"/>
          <w:lang w:val="cs-CZ" w:eastAsia="cs-CZ"/>
        </w:rPr>
        <w:t>dne konání příští valné hromady,</w:t>
      </w:r>
      <w:r w:rsidR="00033152">
        <w:rPr>
          <w:rFonts w:eastAsia="Times New Roman" w:cs="Arial"/>
          <w:lang w:val="cs-CZ" w:eastAsia="cs-CZ"/>
        </w:rPr>
        <w:t xml:space="preserve"> </w:t>
      </w:r>
      <w:r w:rsidR="00206AB3">
        <w:rPr>
          <w:rFonts w:eastAsia="Times New Roman" w:cs="Arial"/>
          <w:lang w:val="cs-CZ" w:eastAsia="cs-CZ"/>
        </w:rPr>
        <w:t xml:space="preserve">po schválení valnou hromadou, </w:t>
      </w:r>
      <w:r w:rsidRPr="00AC08EE">
        <w:rPr>
          <w:rFonts w:eastAsia="Times New Roman" w:cs="Arial"/>
          <w:lang w:val="cs-CZ" w:eastAsia="cs-CZ"/>
        </w:rPr>
        <w:t>bankovním převodem na účet akcionáře, který společnosti sdělí.</w:t>
      </w:r>
    </w:p>
    <w:p w:rsidR="00F3133D" w:rsidRPr="00AC08EE" w:rsidRDefault="00F3133D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>
        <w:rPr>
          <w:rFonts w:eastAsia="Times New Roman" w:cs="Arial"/>
          <w:lang w:val="cs-CZ" w:eastAsia="cs-CZ"/>
        </w:rPr>
        <w:t>Zbytek zisku bude převeden na účet „nerozdělený</w:t>
      </w:r>
      <w:r w:rsidR="000D4EE7">
        <w:rPr>
          <w:rFonts w:eastAsia="Times New Roman" w:cs="Arial"/>
          <w:lang w:val="cs-CZ" w:eastAsia="cs-CZ"/>
        </w:rPr>
        <w:t xml:space="preserve"> zisk minulých let</w:t>
      </w:r>
      <w:r>
        <w:rPr>
          <w:rFonts w:eastAsia="Times New Roman" w:cs="Arial"/>
          <w:lang w:val="cs-CZ" w:eastAsia="cs-CZ"/>
        </w:rPr>
        <w:t>“.</w:t>
      </w:r>
    </w:p>
    <w:p w:rsidR="00364F37" w:rsidRPr="00AC08EE" w:rsidRDefault="00364F37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Odůvodnění:</w:t>
      </w:r>
    </w:p>
    <w:p w:rsidR="00235659" w:rsidRDefault="00364F37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 xml:space="preserve">V souladu se zákonem a stanovami může valná hromada rozhodnou, že se zisk Společnosti dosažený ve schvalovaném období rozdělí formou dividend mezi jednotlivé akcionáře. </w:t>
      </w:r>
      <w:r w:rsidR="00235659">
        <w:rPr>
          <w:rFonts w:eastAsia="Times New Roman" w:cs="Arial"/>
          <w:lang w:val="cs-CZ" w:eastAsia="cs-CZ"/>
        </w:rPr>
        <w:t xml:space="preserve"> Podíl na zisku je stanoven na základě účetní závěrky </w:t>
      </w:r>
      <w:r w:rsidR="00DB337C">
        <w:rPr>
          <w:rFonts w:eastAsia="Times New Roman" w:cs="Arial"/>
          <w:lang w:val="cs-CZ" w:eastAsia="cs-CZ"/>
        </w:rPr>
        <w:t>za rok 201</w:t>
      </w:r>
      <w:r w:rsidR="009E6448">
        <w:rPr>
          <w:rFonts w:eastAsia="Times New Roman" w:cs="Arial"/>
          <w:lang w:val="cs-CZ" w:eastAsia="cs-CZ"/>
        </w:rPr>
        <w:t>7</w:t>
      </w:r>
      <w:r w:rsidR="00DB337C">
        <w:rPr>
          <w:rFonts w:eastAsia="Times New Roman" w:cs="Arial"/>
          <w:lang w:val="cs-CZ" w:eastAsia="cs-CZ"/>
        </w:rPr>
        <w:t xml:space="preserve"> schválené valnou hromadou. </w:t>
      </w:r>
      <w:r w:rsidR="00CE597B">
        <w:rPr>
          <w:rFonts w:eastAsia="Times New Roman" w:cs="Arial"/>
          <w:lang w:val="cs-CZ" w:eastAsia="cs-CZ"/>
        </w:rPr>
        <w:t xml:space="preserve">O výplatě dividendy rozhoduje </w:t>
      </w:r>
      <w:r w:rsidR="00A26869">
        <w:rPr>
          <w:rFonts w:eastAsia="Times New Roman" w:cs="Arial"/>
          <w:lang w:val="cs-CZ" w:eastAsia="cs-CZ"/>
        </w:rPr>
        <w:t>statutární ředitel S</w:t>
      </w:r>
      <w:r w:rsidR="00CE597B">
        <w:rPr>
          <w:rFonts w:eastAsia="Times New Roman" w:cs="Arial"/>
          <w:lang w:val="cs-CZ" w:eastAsia="cs-CZ"/>
        </w:rPr>
        <w:t>polečnosti</w:t>
      </w:r>
      <w:r w:rsidR="00A26869">
        <w:rPr>
          <w:rFonts w:eastAsia="Times New Roman" w:cs="Arial"/>
          <w:lang w:val="cs-CZ" w:eastAsia="cs-CZ"/>
        </w:rPr>
        <w:t xml:space="preserve">, který zároveň </w:t>
      </w:r>
      <w:r w:rsidR="00DB337C">
        <w:rPr>
          <w:rFonts w:eastAsia="Times New Roman" w:cs="Arial"/>
          <w:lang w:val="cs-CZ" w:eastAsia="cs-CZ"/>
        </w:rPr>
        <w:t>prohlašuje, že výplata dividendy je v souladu s právními předpisy o výplatě dividendy.</w:t>
      </w:r>
    </w:p>
    <w:p w:rsidR="00334D12" w:rsidRDefault="00334D12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</w:p>
    <w:p w:rsidR="00334D12" w:rsidRDefault="00334D12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</w:p>
    <w:p w:rsidR="00364F37" w:rsidRPr="00AC08EE" w:rsidRDefault="00364F37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Návrh usnesení k bodu 6)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Valná hromada určuje auditorem k provedení povinného auditu pro účetní období kalendářního roku 201</w:t>
      </w:r>
      <w:r w:rsidR="005C3143">
        <w:rPr>
          <w:rFonts w:eastAsia="Times New Roman" w:cs="Arial"/>
          <w:lang w:val="cs-CZ" w:eastAsia="cs-CZ"/>
        </w:rPr>
        <w:t>7</w:t>
      </w:r>
      <w:r w:rsidR="00A26869">
        <w:rPr>
          <w:rFonts w:eastAsia="Times New Roman" w:cs="Arial"/>
          <w:lang w:val="cs-CZ" w:eastAsia="cs-CZ"/>
        </w:rPr>
        <w:t xml:space="preserve"> </w:t>
      </w:r>
      <w:r w:rsidRPr="00AC08EE">
        <w:rPr>
          <w:rFonts w:eastAsia="Times New Roman" w:cs="Arial"/>
          <w:lang w:val="cs-CZ" w:eastAsia="cs-CZ"/>
        </w:rPr>
        <w:t>auditorskou společnost</w:t>
      </w:r>
      <w:r w:rsidR="00334D12" w:rsidRPr="00334D12">
        <w:rPr>
          <w:sz w:val="24"/>
        </w:rPr>
        <w:t xml:space="preserve"> </w:t>
      </w:r>
      <w:proofErr w:type="spellStart"/>
      <w:r w:rsidR="00334D12" w:rsidRPr="000D4F2B">
        <w:rPr>
          <w:sz w:val="24"/>
        </w:rPr>
        <w:t>Kavero</w:t>
      </w:r>
      <w:proofErr w:type="spellEnd"/>
      <w:r w:rsidR="00334D12" w:rsidRPr="000D4F2B">
        <w:rPr>
          <w:sz w:val="24"/>
        </w:rPr>
        <w:t xml:space="preserve"> Audit CZ, </w:t>
      </w:r>
      <w:proofErr w:type="spellStart"/>
      <w:r w:rsidR="00334D12" w:rsidRPr="000D4F2B">
        <w:rPr>
          <w:sz w:val="24"/>
        </w:rPr>
        <w:t>s.r.o</w:t>
      </w:r>
      <w:proofErr w:type="spellEnd"/>
      <w:r w:rsidR="00334D12" w:rsidRPr="000D4F2B">
        <w:rPr>
          <w:sz w:val="24"/>
        </w:rPr>
        <w:t>. .</w:t>
      </w:r>
      <w:r w:rsidR="00C76A71" w:rsidRPr="00AC08EE">
        <w:rPr>
          <w:rFonts w:eastAsia="Times New Roman" w:cs="Arial"/>
          <w:lang w:val="cs-CZ" w:eastAsia="cs-CZ"/>
        </w:rPr>
        <w:t>.</w:t>
      </w:r>
    </w:p>
    <w:p w:rsidR="00756829" w:rsidRPr="00AC08EE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Odůvodnění:</w:t>
      </w:r>
    </w:p>
    <w:p w:rsidR="00756829" w:rsidRDefault="00756829" w:rsidP="00756829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V souladu se zákonem č. 93/2009 Sb., o auditorech, určuje auditora k provedení povinného auditu valná hromada</w:t>
      </w:r>
      <w:r w:rsidR="00EE1DAD" w:rsidRPr="00AC08EE">
        <w:rPr>
          <w:rFonts w:eastAsia="Times New Roman" w:cs="Arial"/>
          <w:lang w:val="cs-CZ" w:eastAsia="cs-CZ"/>
        </w:rPr>
        <w:t xml:space="preserve"> Společnosti</w:t>
      </w:r>
      <w:r w:rsidRPr="00AC08EE">
        <w:rPr>
          <w:rFonts w:eastAsia="Times New Roman" w:cs="Arial"/>
          <w:lang w:val="cs-CZ" w:eastAsia="cs-CZ"/>
        </w:rPr>
        <w:t>.</w:t>
      </w:r>
    </w:p>
    <w:p w:rsidR="00DB337C" w:rsidRDefault="00756829" w:rsidP="00DB337C">
      <w:pPr>
        <w:spacing w:before="120" w:after="216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t> </w:t>
      </w:r>
      <w:r w:rsidR="000D4EE7">
        <w:rPr>
          <w:rFonts w:eastAsia="Times New Roman" w:cs="Arial"/>
          <w:lang w:val="cs-CZ" w:eastAsia="cs-CZ"/>
        </w:rPr>
        <w:t>K bodu 7</w:t>
      </w:r>
      <w:r w:rsidR="00431692">
        <w:rPr>
          <w:rFonts w:eastAsia="Times New Roman" w:cs="Arial"/>
          <w:lang w:val="cs-CZ" w:eastAsia="cs-CZ"/>
        </w:rPr>
        <w:t>)</w:t>
      </w:r>
    </w:p>
    <w:p w:rsidR="00B978BE" w:rsidRPr="000767C9" w:rsidRDefault="00092673" w:rsidP="00DB337C">
      <w:pPr>
        <w:spacing w:before="120" w:after="216" w:line="30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val="cs-CZ" w:eastAsia="cs-CZ"/>
        </w:rPr>
        <w:t>Valná hromada nemá další body k řešení, a proto předseda valné hromady valnou hromadu končí</w:t>
      </w:r>
      <w:r w:rsidR="00410F7B">
        <w:rPr>
          <w:rFonts w:eastAsia="Times New Roman" w:cs="Arial"/>
          <w:lang w:val="cs-CZ" w:eastAsia="cs-CZ"/>
        </w:rPr>
        <w:t>, usnesení není třeba.</w:t>
      </w:r>
    </w:p>
    <w:p w:rsidR="00756829" w:rsidRPr="00AC08EE" w:rsidRDefault="00092673" w:rsidP="00DB337C">
      <w:pPr>
        <w:spacing w:before="120" w:after="216" w:line="300" w:lineRule="auto"/>
        <w:jc w:val="right"/>
        <w:rPr>
          <w:rFonts w:eastAsia="Times New Roman" w:cs="Arial"/>
          <w:lang w:val="cs-CZ" w:eastAsia="cs-CZ"/>
        </w:rPr>
      </w:pPr>
      <w:r>
        <w:rPr>
          <w:rFonts w:eastAsia="Times New Roman" w:cs="Arial"/>
          <w:lang w:val="cs-CZ" w:eastAsia="cs-CZ"/>
        </w:rPr>
        <w:t>Statutární ředitel s</w:t>
      </w:r>
      <w:r w:rsidR="00756829" w:rsidRPr="00AC08EE">
        <w:rPr>
          <w:rFonts w:eastAsia="Times New Roman" w:cs="Arial"/>
          <w:lang w:val="cs-CZ" w:eastAsia="cs-CZ"/>
        </w:rPr>
        <w:t>polečnosti</w:t>
      </w:r>
      <w:r w:rsidR="00DB337C">
        <w:rPr>
          <w:rFonts w:eastAsia="Times New Roman" w:cs="Arial"/>
          <w:lang w:val="cs-CZ" w:eastAsia="cs-CZ"/>
        </w:rPr>
        <w:t xml:space="preserve"> Colognia press, a.s.</w:t>
      </w:r>
    </w:p>
    <w:p w:rsidR="00756829" w:rsidRPr="00AC08EE" w:rsidRDefault="00756829" w:rsidP="00756829">
      <w:pPr>
        <w:spacing w:after="300" w:line="300" w:lineRule="auto"/>
        <w:outlineLvl w:val="1"/>
        <w:rPr>
          <w:rFonts w:eastAsia="Times New Roman" w:cs="Arial"/>
          <w:bCs/>
          <w:vanish/>
          <w:lang w:val="cs-CZ" w:eastAsia="cs-CZ"/>
        </w:rPr>
      </w:pPr>
      <w:r w:rsidRPr="00AC08EE">
        <w:rPr>
          <w:rFonts w:eastAsia="Times New Roman" w:cs="Arial"/>
          <w:bCs/>
          <w:vanish/>
          <w:lang w:val="cs-CZ" w:eastAsia="cs-CZ"/>
        </w:rPr>
        <w:t>Uplatnění návrhů a protinávrhů</w:t>
      </w:r>
    </w:p>
    <w:p w:rsidR="00756829" w:rsidRPr="00AC08EE" w:rsidRDefault="00756829" w:rsidP="00756829">
      <w:pPr>
        <w:spacing w:after="216" w:line="300" w:lineRule="auto"/>
        <w:rPr>
          <w:rFonts w:eastAsia="Times New Roman" w:cs="Arial"/>
          <w:vanish/>
          <w:lang w:val="cs-CZ" w:eastAsia="cs-CZ"/>
        </w:rPr>
      </w:pPr>
      <w:r w:rsidRPr="00AC08EE">
        <w:rPr>
          <w:rFonts w:eastAsia="Times New Roman" w:cs="Arial"/>
          <w:bCs/>
          <w:vanish/>
          <w:lang w:val="cs-CZ" w:eastAsia="cs-CZ"/>
        </w:rPr>
        <w:t>Dokumenty ke stažení:</w:t>
      </w:r>
    </w:p>
    <w:p w:rsidR="00756829" w:rsidRPr="00AC08EE" w:rsidRDefault="00D6482D" w:rsidP="00756829">
      <w:pPr>
        <w:spacing w:before="120" w:after="216" w:line="300" w:lineRule="auto"/>
        <w:rPr>
          <w:rFonts w:eastAsia="Times New Roman" w:cs="Arial"/>
          <w:vanish/>
          <w:lang w:val="cs-CZ" w:eastAsia="cs-CZ"/>
        </w:rPr>
      </w:pPr>
      <w:hyperlink r:id="rId7" w:tgtFrame="_blank" w:history="1">
        <w:r w:rsidR="00756829" w:rsidRPr="00AC08EE">
          <w:rPr>
            <w:rFonts w:eastAsia="Times New Roman" w:cs="Arial"/>
            <w:vanish/>
            <w:lang w:val="cs-CZ" w:eastAsia="cs-CZ"/>
          </w:rPr>
          <w:t>Protinávrhy akcionáře pana Vondráka</w:t>
        </w:r>
      </w:hyperlink>
    </w:p>
    <w:p w:rsidR="00756829" w:rsidRPr="00AC08EE" w:rsidRDefault="00D6482D" w:rsidP="00756829">
      <w:pPr>
        <w:spacing w:before="120" w:after="216" w:line="300" w:lineRule="auto"/>
        <w:rPr>
          <w:rFonts w:eastAsia="Times New Roman" w:cs="Arial"/>
          <w:vanish/>
          <w:lang w:val="cs-CZ" w:eastAsia="cs-CZ"/>
        </w:rPr>
      </w:pPr>
      <w:hyperlink r:id="rId8" w:tgtFrame="_blank" w:history="1">
        <w:r w:rsidR="00756829" w:rsidRPr="00AC08EE">
          <w:rPr>
            <w:rFonts w:eastAsia="Times New Roman" w:cs="Arial"/>
            <w:vanish/>
            <w:lang w:val="cs-CZ" w:eastAsia="cs-CZ"/>
          </w:rPr>
          <w:t>Stanovisko představenstva k protinávrhům akcionáře pana Vondráka</w:t>
        </w:r>
      </w:hyperlink>
    </w:p>
    <w:p w:rsidR="00756829" w:rsidRPr="00AC08EE" w:rsidRDefault="00D6482D" w:rsidP="00756829">
      <w:pPr>
        <w:spacing w:before="120" w:after="216" w:line="300" w:lineRule="auto"/>
        <w:rPr>
          <w:rFonts w:eastAsia="Times New Roman" w:cs="Arial"/>
          <w:vanish/>
          <w:lang w:val="cs-CZ" w:eastAsia="cs-CZ"/>
        </w:rPr>
      </w:pPr>
      <w:hyperlink r:id="rId9" w:tgtFrame="_blank" w:history="1">
        <w:r w:rsidR="00756829" w:rsidRPr="00AC08EE">
          <w:rPr>
            <w:rFonts w:eastAsia="Times New Roman" w:cs="Arial"/>
            <w:vanish/>
            <w:lang w:val="cs-CZ" w:eastAsia="cs-CZ"/>
          </w:rPr>
          <w:t>Protinávrh akcionáře KOVOŠROT GROUP CZ a.s.</w:t>
        </w:r>
      </w:hyperlink>
    </w:p>
    <w:p w:rsidR="00756829" w:rsidRPr="00AC08EE" w:rsidRDefault="00D6482D" w:rsidP="00756829">
      <w:pPr>
        <w:spacing w:before="120" w:line="300" w:lineRule="auto"/>
        <w:rPr>
          <w:rFonts w:eastAsia="Times New Roman" w:cs="Arial"/>
          <w:vanish/>
          <w:lang w:val="cs-CZ" w:eastAsia="cs-CZ"/>
        </w:rPr>
      </w:pPr>
      <w:hyperlink r:id="rId10" w:tgtFrame="_blank" w:history="1">
        <w:r w:rsidR="00756829" w:rsidRPr="00AC08EE">
          <w:rPr>
            <w:rFonts w:eastAsia="Times New Roman" w:cs="Arial"/>
            <w:vanish/>
            <w:lang w:val="cs-CZ" w:eastAsia="cs-CZ"/>
          </w:rPr>
          <w:t>Stanovisko představenstva k protinávrhu akcionáře KOVOŠROT GROUP CZ a.s.</w:t>
        </w:r>
      </w:hyperlink>
    </w:p>
    <w:p w:rsidR="00756829" w:rsidRPr="00AC08EE" w:rsidRDefault="00756829" w:rsidP="00756829">
      <w:pPr>
        <w:spacing w:before="300" w:after="300" w:line="300" w:lineRule="auto"/>
        <w:outlineLvl w:val="1"/>
        <w:rPr>
          <w:rFonts w:eastAsia="Times New Roman" w:cs="Arial"/>
          <w:bCs/>
          <w:vanish/>
          <w:lang w:val="cs-CZ" w:eastAsia="cs-CZ"/>
        </w:rPr>
      </w:pPr>
      <w:r w:rsidRPr="00AC08EE">
        <w:rPr>
          <w:rFonts w:eastAsia="Times New Roman" w:cs="Arial"/>
          <w:bCs/>
          <w:vanish/>
          <w:lang w:val="cs-CZ" w:eastAsia="cs-CZ"/>
        </w:rPr>
        <w:t>Menu</w:t>
      </w:r>
    </w:p>
    <w:p w:rsidR="00756829" w:rsidRPr="00AC08EE" w:rsidRDefault="00D6482D" w:rsidP="00756829">
      <w:pPr>
        <w:numPr>
          <w:ilvl w:val="0"/>
          <w:numId w:val="1"/>
        </w:numPr>
        <w:spacing w:after="0" w:line="300" w:lineRule="auto"/>
        <w:ind w:left="-1920"/>
        <w:rPr>
          <w:rFonts w:eastAsia="Times New Roman" w:cs="Arial"/>
          <w:vanish/>
          <w:lang w:val="cs-CZ" w:eastAsia="cs-CZ"/>
        </w:rPr>
      </w:pPr>
      <w:hyperlink r:id="rId11" w:history="1">
        <w:r w:rsidR="00756829" w:rsidRPr="00AC08EE">
          <w:rPr>
            <w:rFonts w:eastAsia="Times New Roman" w:cs="Arial"/>
            <w:vanish/>
            <w:lang w:val="cs-CZ" w:eastAsia="cs-CZ"/>
          </w:rPr>
          <w:t>Ekologická likvidace vozidel</w:t>
        </w:r>
      </w:hyperlink>
    </w:p>
    <w:p w:rsidR="00756829" w:rsidRPr="00AC08EE" w:rsidRDefault="00D6482D" w:rsidP="00756829">
      <w:pPr>
        <w:numPr>
          <w:ilvl w:val="0"/>
          <w:numId w:val="1"/>
        </w:numPr>
        <w:spacing w:line="300" w:lineRule="auto"/>
        <w:ind w:left="-1920"/>
        <w:rPr>
          <w:rFonts w:eastAsia="Times New Roman" w:cs="Arial"/>
          <w:vanish/>
          <w:lang w:val="cs-CZ" w:eastAsia="cs-CZ"/>
        </w:rPr>
      </w:pPr>
      <w:hyperlink r:id="rId12" w:history="1">
        <w:r w:rsidR="00756829" w:rsidRPr="00AC08EE">
          <w:rPr>
            <w:rFonts w:eastAsia="Times New Roman" w:cs="Arial"/>
            <w:vanish/>
            <w:lang w:val="cs-CZ" w:eastAsia="cs-CZ"/>
          </w:rPr>
          <w:t>Kontakt</w:t>
        </w:r>
      </w:hyperlink>
    </w:p>
    <w:p w:rsidR="00756829" w:rsidRPr="00AC08EE" w:rsidRDefault="00756829" w:rsidP="00756829">
      <w:pPr>
        <w:spacing w:after="0" w:line="300" w:lineRule="auto"/>
        <w:rPr>
          <w:rFonts w:eastAsia="Times New Roman" w:cs="Arial"/>
          <w:lang w:val="cs-CZ" w:eastAsia="cs-CZ"/>
        </w:rPr>
      </w:pPr>
      <w:r w:rsidRPr="00AC08EE">
        <w:rPr>
          <w:rFonts w:eastAsia="Times New Roman" w:cs="Arial"/>
          <w:lang w:val="cs-CZ" w:eastAsia="cs-CZ"/>
        </w:rPr>
        <w:br w:type="textWrapping" w:clear="all"/>
      </w:r>
    </w:p>
    <w:p w:rsidR="00756829" w:rsidRPr="00AC08EE" w:rsidRDefault="00756829" w:rsidP="00756829">
      <w:pPr>
        <w:spacing w:after="300" w:line="300" w:lineRule="auto"/>
        <w:outlineLvl w:val="1"/>
        <w:rPr>
          <w:rFonts w:eastAsia="Times New Roman" w:cs="Arial"/>
          <w:bCs/>
          <w:vanish/>
          <w:lang w:val="cs-CZ" w:eastAsia="cs-CZ"/>
        </w:rPr>
      </w:pPr>
      <w:bookmarkStart w:id="0" w:name="_GoBack"/>
      <w:bookmarkEnd w:id="0"/>
      <w:r w:rsidRPr="00AC08EE">
        <w:rPr>
          <w:rFonts w:eastAsia="Times New Roman" w:cs="Arial"/>
          <w:bCs/>
          <w:vanish/>
          <w:lang w:val="cs-CZ" w:eastAsia="cs-CZ"/>
        </w:rPr>
        <w:t>Výzva k předložení akcií</w:t>
      </w:r>
    </w:p>
    <w:p w:rsidR="00756829" w:rsidRPr="00AC08EE" w:rsidRDefault="00756829" w:rsidP="00756829">
      <w:pPr>
        <w:spacing w:after="216" w:line="249" w:lineRule="atLeast"/>
        <w:jc w:val="center"/>
        <w:rPr>
          <w:rFonts w:eastAsia="Times New Roman" w:cs="Arial"/>
          <w:vanish/>
          <w:lang w:val="cs-CZ" w:eastAsia="cs-CZ"/>
        </w:rPr>
      </w:pPr>
      <w:r w:rsidRPr="00AC08EE">
        <w:rPr>
          <w:rFonts w:eastAsia="Times New Roman" w:cs="Arial"/>
          <w:vanish/>
          <w:lang w:val="cs-CZ" w:eastAsia="cs-CZ"/>
        </w:rPr>
        <w:t>Výzva k předložení akcií a ke sdělení údajů potřebných pro zápis do seznamu akcionářů</w:t>
      </w:r>
      <w:r w:rsidRPr="00AC08EE">
        <w:rPr>
          <w:rFonts w:eastAsia="Times New Roman" w:cs="Arial"/>
          <w:vanish/>
          <w:lang w:val="cs-CZ" w:eastAsia="cs-CZ"/>
        </w:rPr>
        <w:br/>
        <w:t>a</w:t>
      </w:r>
      <w:r w:rsidRPr="00AC08EE">
        <w:rPr>
          <w:rFonts w:eastAsia="Times New Roman" w:cs="Arial"/>
          <w:vanish/>
          <w:lang w:val="cs-CZ" w:eastAsia="cs-CZ"/>
        </w:rPr>
        <w:br/>
        <w:t>oznámení o následcích spojených s prodlením akcionáře</w:t>
      </w:r>
    </w:p>
    <w:p w:rsidR="00756829" w:rsidRPr="00AC08EE" w:rsidRDefault="00756829" w:rsidP="00756829">
      <w:pPr>
        <w:spacing w:before="120" w:after="216" w:line="249" w:lineRule="atLeast"/>
        <w:jc w:val="center"/>
        <w:rPr>
          <w:rFonts w:eastAsia="Times New Roman" w:cs="Arial"/>
          <w:vanish/>
          <w:lang w:val="cs-CZ" w:eastAsia="cs-CZ"/>
        </w:rPr>
      </w:pPr>
      <w:r w:rsidRPr="00AC08EE">
        <w:rPr>
          <w:rFonts w:eastAsia="Times New Roman" w:cs="Arial"/>
          <w:vanish/>
          <w:lang w:val="cs-CZ" w:eastAsia="cs-CZ"/>
        </w:rPr>
        <w:t>Představenstvo obchodní společnosti </w:t>
      </w:r>
      <w:r w:rsidRPr="00AC08EE">
        <w:rPr>
          <w:rFonts w:eastAsia="Times New Roman" w:cs="Arial"/>
          <w:bCs/>
          <w:vanish/>
          <w:lang w:val="cs-CZ" w:eastAsia="cs-CZ"/>
        </w:rPr>
        <w:t>Sběrné suroviny, a.s.</w:t>
      </w:r>
      <w:r w:rsidRPr="00AC08EE">
        <w:rPr>
          <w:rFonts w:eastAsia="Times New Roman" w:cs="Arial"/>
          <w:vanish/>
          <w:lang w:val="cs-CZ" w:eastAsia="cs-CZ"/>
        </w:rPr>
        <w:t>, IČ: 60827718, se sídlem České Budějovice, Pražská 493, PSČ 370 21, Sp. zn. B 632 vedená u Krajského soudu v Českých Budějovicích (dále jen „Společnost“)</w:t>
      </w:r>
    </w:p>
    <w:p w:rsidR="00756829" w:rsidRPr="00AC08EE" w:rsidRDefault="00756829" w:rsidP="00756829">
      <w:pPr>
        <w:spacing w:before="120" w:after="216" w:line="249" w:lineRule="atLeast"/>
        <w:rPr>
          <w:rFonts w:eastAsia="Times New Roman" w:cs="Arial"/>
          <w:vanish/>
          <w:lang w:val="cs-CZ" w:eastAsia="cs-CZ"/>
        </w:rPr>
      </w:pPr>
      <w:r w:rsidRPr="00AC08EE">
        <w:rPr>
          <w:rFonts w:eastAsia="Times New Roman" w:cs="Arial"/>
          <w:vanish/>
          <w:lang w:val="cs-CZ" w:eastAsia="cs-CZ"/>
        </w:rPr>
        <w:t>oznamuje akcionářům v souladu s příslušnými ustanoveními zákona č. 134/2013 Sb., o některých opatřeních ke zvýšení transparentnosti akciových společností a o změně dalších zákonů (dále jen „Zákon“), následující:</w:t>
      </w:r>
    </w:p>
    <w:p w:rsidR="00756829" w:rsidRPr="00AC08EE" w:rsidRDefault="00756829" w:rsidP="00756829">
      <w:pPr>
        <w:spacing w:before="120" w:after="216" w:line="249" w:lineRule="atLeast"/>
        <w:ind w:left="720"/>
        <w:rPr>
          <w:rFonts w:eastAsia="Times New Roman" w:cs="Arial"/>
          <w:vanish/>
          <w:lang w:val="cs-CZ" w:eastAsia="cs-CZ"/>
        </w:rPr>
      </w:pPr>
      <w:r w:rsidRPr="00AC08EE">
        <w:rPr>
          <w:rFonts w:eastAsia="Times New Roman" w:cs="Arial"/>
          <w:vanish/>
          <w:lang w:val="cs-CZ" w:eastAsia="cs-CZ"/>
        </w:rPr>
        <w:t>1.       na základě ustanovení § 2 odst. 1 Zákona se k 1. lednu 2014 změnila forma všech listinných akcií Společnosti na majitele na listinné akcie na jméno,</w:t>
      </w:r>
      <w:r w:rsidRPr="00AC08EE">
        <w:rPr>
          <w:rFonts w:eastAsia="Times New Roman" w:cs="Arial"/>
          <w:vanish/>
          <w:lang w:val="cs-CZ" w:eastAsia="cs-CZ"/>
        </w:rPr>
        <w:br/>
        <w:t>2.       představenstvo Společnosti v souladu s ustanovením § 3 odst. 3 Zákona rozhodlo o výměně dosavadních akcií za nové akcie, přičemž lhůta pro výměnu dosavadních akcií za nové akcie a sdělení údajů potřebných pro zápis do seznamu akcionářů je stanovena do 30. června 2014.</w:t>
      </w:r>
    </w:p>
    <w:p w:rsidR="00756829" w:rsidRPr="00AC08EE" w:rsidRDefault="00D6482D" w:rsidP="00756829">
      <w:pPr>
        <w:spacing w:before="120" w:line="249" w:lineRule="atLeast"/>
        <w:ind w:left="720"/>
        <w:jc w:val="right"/>
        <w:rPr>
          <w:rFonts w:eastAsia="Times New Roman" w:cs="Arial"/>
          <w:vanish/>
          <w:lang w:val="cs-CZ" w:eastAsia="cs-CZ"/>
        </w:rPr>
      </w:pPr>
      <w:hyperlink r:id="rId13" w:tgtFrame="_blank" w:history="1">
        <w:r w:rsidR="00756829" w:rsidRPr="00AC08EE">
          <w:rPr>
            <w:rFonts w:eastAsia="Times New Roman" w:cs="Arial"/>
            <w:vanish/>
            <w:lang w:val="cs-CZ" w:eastAsia="cs-CZ"/>
          </w:rPr>
          <w:t>číst dále...</w:t>
        </w:r>
      </w:hyperlink>
    </w:p>
    <w:p w:rsidR="008D49D8" w:rsidRPr="00AC08EE" w:rsidRDefault="008D49D8">
      <w:pPr>
        <w:rPr>
          <w:lang w:val="cs-CZ"/>
        </w:rPr>
      </w:pPr>
    </w:p>
    <w:sectPr w:rsidR="008D49D8" w:rsidRPr="00AC08EE" w:rsidSect="008D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2D4"/>
    <w:multiLevelType w:val="hybridMultilevel"/>
    <w:tmpl w:val="286AF5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8363C"/>
    <w:multiLevelType w:val="hybridMultilevel"/>
    <w:tmpl w:val="D83043F8"/>
    <w:lvl w:ilvl="0" w:tplc="67B63AC4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1D00306E"/>
    <w:multiLevelType w:val="hybridMultilevel"/>
    <w:tmpl w:val="56268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2432"/>
    <w:multiLevelType w:val="hybridMultilevel"/>
    <w:tmpl w:val="CF544616"/>
    <w:lvl w:ilvl="0" w:tplc="67B63AC4">
      <w:start w:val="1"/>
      <w:numFmt w:val="decimal"/>
      <w:lvlText w:val="%1."/>
      <w:lvlJc w:val="left"/>
      <w:pPr>
        <w:ind w:left="181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35E01406"/>
    <w:multiLevelType w:val="multilevel"/>
    <w:tmpl w:val="0674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B7522"/>
    <w:multiLevelType w:val="hybridMultilevel"/>
    <w:tmpl w:val="D83043F8"/>
    <w:lvl w:ilvl="0" w:tplc="67B63AC4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29"/>
    <w:rsid w:val="000252A5"/>
    <w:rsid w:val="00033152"/>
    <w:rsid w:val="000633B4"/>
    <w:rsid w:val="000767C9"/>
    <w:rsid w:val="00092673"/>
    <w:rsid w:val="000D4EE7"/>
    <w:rsid w:val="0010110C"/>
    <w:rsid w:val="0015090C"/>
    <w:rsid w:val="00154AF7"/>
    <w:rsid w:val="001837A0"/>
    <w:rsid w:val="00186E7B"/>
    <w:rsid w:val="001D116A"/>
    <w:rsid w:val="00206AB3"/>
    <w:rsid w:val="00235659"/>
    <w:rsid w:val="002D14E7"/>
    <w:rsid w:val="00334D12"/>
    <w:rsid w:val="00364F37"/>
    <w:rsid w:val="00366A49"/>
    <w:rsid w:val="00382AE1"/>
    <w:rsid w:val="003C1B0E"/>
    <w:rsid w:val="00410F7B"/>
    <w:rsid w:val="00431692"/>
    <w:rsid w:val="004E3995"/>
    <w:rsid w:val="00550D6D"/>
    <w:rsid w:val="005C3143"/>
    <w:rsid w:val="005F6E80"/>
    <w:rsid w:val="00662448"/>
    <w:rsid w:val="0067721E"/>
    <w:rsid w:val="00693BD2"/>
    <w:rsid w:val="006B5AF7"/>
    <w:rsid w:val="006D6D26"/>
    <w:rsid w:val="007176AE"/>
    <w:rsid w:val="00721ADA"/>
    <w:rsid w:val="00756829"/>
    <w:rsid w:val="007E05F6"/>
    <w:rsid w:val="0080303E"/>
    <w:rsid w:val="00834629"/>
    <w:rsid w:val="008376BE"/>
    <w:rsid w:val="008906E8"/>
    <w:rsid w:val="008C1109"/>
    <w:rsid w:val="008C1B35"/>
    <w:rsid w:val="008D49D8"/>
    <w:rsid w:val="0092701F"/>
    <w:rsid w:val="00954167"/>
    <w:rsid w:val="0099324D"/>
    <w:rsid w:val="009A6518"/>
    <w:rsid w:val="009E6448"/>
    <w:rsid w:val="00A22039"/>
    <w:rsid w:val="00A26869"/>
    <w:rsid w:val="00A32210"/>
    <w:rsid w:val="00A32F88"/>
    <w:rsid w:val="00A40510"/>
    <w:rsid w:val="00A47DD5"/>
    <w:rsid w:val="00A54AB0"/>
    <w:rsid w:val="00A640CD"/>
    <w:rsid w:val="00A73A5C"/>
    <w:rsid w:val="00AC08EE"/>
    <w:rsid w:val="00B17335"/>
    <w:rsid w:val="00B23806"/>
    <w:rsid w:val="00B63E2D"/>
    <w:rsid w:val="00B978BE"/>
    <w:rsid w:val="00C76A71"/>
    <w:rsid w:val="00CC2E3B"/>
    <w:rsid w:val="00CE597B"/>
    <w:rsid w:val="00D063E6"/>
    <w:rsid w:val="00D93BA1"/>
    <w:rsid w:val="00DB337C"/>
    <w:rsid w:val="00E708D6"/>
    <w:rsid w:val="00E7527C"/>
    <w:rsid w:val="00E97C07"/>
    <w:rsid w:val="00ED6EC9"/>
    <w:rsid w:val="00EE1DAD"/>
    <w:rsid w:val="00F06EF0"/>
    <w:rsid w:val="00F0791D"/>
    <w:rsid w:val="00F3133D"/>
    <w:rsid w:val="00FB2A45"/>
    <w:rsid w:val="00F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F80B"/>
  <w15:docId w15:val="{E224862B-9C59-9E45-BD10-E03ED1FF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9D8"/>
    <w:pPr>
      <w:spacing w:after="200" w:line="276" w:lineRule="auto"/>
    </w:pPr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756829"/>
    <w:pPr>
      <w:spacing w:before="150" w:after="150" w:line="240" w:lineRule="auto"/>
      <w:outlineLvl w:val="1"/>
    </w:pPr>
    <w:rPr>
      <w:rFonts w:ascii="Times New Roman" w:eastAsia="Times New Roman" w:hAnsi="Times New Roman"/>
      <w:b/>
      <w:bCs/>
      <w:color w:val="2F71A2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756829"/>
    <w:rPr>
      <w:rFonts w:ascii="Times New Roman" w:eastAsia="Times New Roman" w:hAnsi="Times New Roman" w:cs="Times New Roman"/>
      <w:b/>
      <w:bCs/>
      <w:color w:val="2F71A2"/>
      <w:sz w:val="30"/>
      <w:szCs w:val="30"/>
      <w:lang w:eastAsia="cs-CZ"/>
    </w:rPr>
  </w:style>
  <w:style w:type="character" w:styleId="Hypertextovodkaz">
    <w:name w:val="Hyperlink"/>
    <w:uiPriority w:val="99"/>
    <w:semiHidden/>
    <w:unhideWhenUsed/>
    <w:rsid w:val="0075682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756829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rsid w:val="00756829"/>
    <w:rPr>
      <w:b/>
      <w:bCs/>
    </w:rPr>
  </w:style>
  <w:style w:type="character" w:customStyle="1" w:styleId="spiszn">
    <w:name w:val="spiszn"/>
    <w:basedOn w:val="Standardnpsmoodstavce"/>
    <w:rsid w:val="00D93BA1"/>
  </w:style>
  <w:style w:type="paragraph" w:styleId="Odstavecseseznamem">
    <w:name w:val="List Paragraph"/>
    <w:basedOn w:val="Normln"/>
    <w:uiPriority w:val="34"/>
    <w:qFormat/>
    <w:rsid w:val="009A651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C1109"/>
  </w:style>
  <w:style w:type="paragraph" w:styleId="Textbubliny">
    <w:name w:val="Balloon Text"/>
    <w:basedOn w:val="Normln"/>
    <w:link w:val="TextbublinyChar"/>
    <w:uiPriority w:val="99"/>
    <w:semiHidden/>
    <w:unhideWhenUsed/>
    <w:rsid w:val="00A405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051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918">
          <w:marLeft w:val="0"/>
          <w:marRight w:val="0"/>
          <w:marTop w:val="1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4141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8645">
                                                  <w:marLeft w:val="0"/>
                                                  <w:marRight w:val="-41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17940">
                                                      <w:marLeft w:val="0"/>
                                                      <w:marRight w:val="3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31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34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0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69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7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14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10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35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53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089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655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54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5786256">
                                                      <w:marLeft w:val="-30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76018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5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0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26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2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71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7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684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nesuroviny.cz/sites/default/files/stanovisko_predstavenstva_k_protinavrhum_akcionare_pana_vondraka.pdf" TargetMode="External"/><Relationship Id="rId13" Type="http://schemas.openxmlformats.org/officeDocument/2006/relationships/hyperlink" Target="http://www.sbernesuroviny.cz/?q=v%C3%BDzva-k-p%C5%99edlo%C5%BEen%C3%AD-akci%C3%A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nesuroviny.cz/sites/default/files/protinavrhy_akcionare_pana_vondraka.pdf" TargetMode="External"/><Relationship Id="rId12" Type="http://schemas.openxmlformats.org/officeDocument/2006/relationships/hyperlink" Target="http://www.sbernesuroviny.cz/?q=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bernesuroviny.cz/?q=ekologicka-likvidace-vozid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bernesuroviny.cz/sites/default/files/stanovisko_predstavenstva_k_protinavrhu_akcionare_kovosro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nesuroviny.cz/sites/default/files/protinavrh_akcionare_kovosro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AEBF8-1D7B-0C43-BDA2-8F86C1C3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1178</Words>
  <Characters>6750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Štěpánka Líznerová</cp:lastModifiedBy>
  <cp:revision>5</cp:revision>
  <dcterms:created xsi:type="dcterms:W3CDTF">2018-08-26T10:31:00Z</dcterms:created>
  <dcterms:modified xsi:type="dcterms:W3CDTF">2018-08-26T12:33:00Z</dcterms:modified>
</cp:coreProperties>
</file>